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D7D" w:rsidRDefault="00781254" w:rsidP="00626933">
      <w:pPr>
        <w:pStyle w:val="StyleTitleLeft005cm"/>
        <w:spacing w:before="6" w:after="6"/>
        <w:ind w:left="142" w:right="142"/>
        <w:rPr>
          <w:rFonts w:ascii="Times New Roman" w:hAnsi="Times New Roman"/>
        </w:rPr>
      </w:pPr>
      <w:r>
        <w:rPr>
          <w:rFonts w:ascii="Times New Roman" w:hAnsi="Times New Roman"/>
        </w:rPr>
        <w:t>Energy Saving</w:t>
      </w:r>
      <w:r w:rsidR="00A95E74">
        <w:rPr>
          <w:rFonts w:ascii="Times New Roman" w:hAnsi="Times New Roman"/>
        </w:rPr>
        <w:t xml:space="preserve"> in the Pharmaceutical Industry </w:t>
      </w:r>
    </w:p>
    <w:p w:rsidR="000B10BC" w:rsidRPr="00CB222A" w:rsidRDefault="00A95E74" w:rsidP="00626933">
      <w:pPr>
        <w:pStyle w:val="StyleTitleLeft005cm"/>
        <w:spacing w:before="6" w:after="6"/>
        <w:ind w:left="142" w:right="142"/>
        <w:rPr>
          <w:rFonts w:ascii="Times New Roman" w:hAnsi="Times New Roman"/>
          <w:bCs w:val="0"/>
          <w:color w:val="000000"/>
          <w:sz w:val="20"/>
        </w:rPr>
      </w:pPr>
      <w:r>
        <w:rPr>
          <w:rFonts w:ascii="Times New Roman" w:hAnsi="Times New Roman"/>
          <w:bCs w:val="0"/>
          <w:color w:val="000000"/>
          <w:sz w:val="20"/>
        </w:rPr>
        <w:t>Aviraj Madke</w:t>
      </w:r>
      <w:r w:rsidR="00C8568C">
        <w:rPr>
          <w:rFonts w:ascii="Times New Roman" w:hAnsi="Times New Roman"/>
          <w:bCs w:val="0"/>
          <w:color w:val="000000"/>
          <w:sz w:val="20"/>
        </w:rPr>
        <w:t xml:space="preserve"> </w:t>
      </w:r>
    </w:p>
    <w:p w:rsidR="006F23E4" w:rsidRDefault="006F23E4" w:rsidP="006F23E4">
      <w:pPr>
        <w:pStyle w:val="StyleTitleLeft005cm"/>
        <w:spacing w:before="0" w:after="0"/>
        <w:ind w:left="142"/>
        <w:rPr>
          <w:rFonts w:ascii="Times New Roman" w:hAnsi="Times New Roman"/>
          <w:b w:val="0"/>
          <w:bCs w:val="0"/>
          <w:color w:val="000000"/>
          <w:sz w:val="20"/>
        </w:rPr>
      </w:pPr>
      <w:r>
        <w:rPr>
          <w:rFonts w:ascii="Times New Roman" w:hAnsi="Times New Roman"/>
          <w:b w:val="0"/>
          <w:bCs w:val="0"/>
          <w:color w:val="000000"/>
          <w:sz w:val="20"/>
        </w:rPr>
        <w:t>M-Tech Student,</w:t>
      </w:r>
      <w:r w:rsidRPr="006E33A4">
        <w:rPr>
          <w:rFonts w:ascii="Times New Roman" w:hAnsi="Times New Roman"/>
          <w:b w:val="0"/>
          <w:bCs w:val="0"/>
          <w:color w:val="000000"/>
          <w:sz w:val="20"/>
        </w:rPr>
        <w:t xml:space="preserve">Department of Mechanical Engineering, Priyadarshini College of Engineering, Nagpur, Maharashtra, 440019. E-mail: </w:t>
      </w:r>
      <w:hyperlink r:id="rId7" w:history="1">
        <w:r w:rsidRPr="0041647D">
          <w:rPr>
            <w:rStyle w:val="Hyperlink"/>
            <w:rFonts w:ascii="Times New Roman" w:hAnsi="Times New Roman"/>
            <w:b w:val="0"/>
            <w:bCs w:val="0"/>
            <w:sz w:val="20"/>
          </w:rPr>
          <w:t>madkeaviraj@gmail.com</w:t>
        </w:r>
      </w:hyperlink>
    </w:p>
    <w:p w:rsidR="00C8568C" w:rsidRPr="00C8568C" w:rsidRDefault="00C8568C" w:rsidP="00626933">
      <w:pPr>
        <w:pStyle w:val="StyleTitleLeft005cm"/>
        <w:spacing w:before="0" w:after="0"/>
        <w:ind w:left="142"/>
        <w:rPr>
          <w:rFonts w:ascii="Times New Roman" w:hAnsi="Times New Roman"/>
          <w:b w:val="0"/>
          <w:bCs w:val="0"/>
          <w:color w:val="000000"/>
          <w:sz w:val="20"/>
        </w:rPr>
      </w:pPr>
    </w:p>
    <w:p w:rsidR="006E33A4" w:rsidRPr="003D01D1" w:rsidRDefault="00EA3F4B" w:rsidP="003D01D1">
      <w:pPr>
        <w:pStyle w:val="BodyText"/>
        <w:spacing w:before="195" w:line="230" w:lineRule="auto"/>
        <w:ind w:left="1247" w:right="78"/>
      </w:pPr>
      <w:r w:rsidRPr="00CE57CF">
        <w:rPr>
          <w:rFonts w:ascii="Times New Roman" w:hAnsi="Times New Roman"/>
          <w:b/>
        </w:rPr>
        <w:t xml:space="preserve">Abstract. </w:t>
      </w:r>
      <w:r w:rsidR="00781254" w:rsidRPr="00781254">
        <w:rPr>
          <w:rFonts w:ascii="Times New Roman" w:hAnsi="Times New Roman"/>
        </w:rPr>
        <w:t>This study describes the role of energy performance benchmarking in the pharmaceutical industry, explains why large variations in building performance exist and how to use benchmarking data to drive meaningful results into a successful energy management program</w:t>
      </w:r>
      <w:r w:rsidR="003D01D1" w:rsidRPr="003D01D1">
        <w:rPr>
          <w:rFonts w:ascii="Times New Roman" w:hAnsi="Times New Roman"/>
        </w:rPr>
        <w:t>.</w:t>
      </w:r>
    </w:p>
    <w:p w:rsidR="00E33E6F" w:rsidRDefault="001A1DED" w:rsidP="006D3D7D">
      <w:pPr>
        <w:pStyle w:val="Abstract"/>
        <w:spacing w:after="567"/>
        <w:ind w:left="1247"/>
        <w:rPr>
          <w:rFonts w:ascii="Times New Roman" w:hAnsi="Times New Roman"/>
          <w:i/>
          <w:color w:val="000008"/>
        </w:rPr>
      </w:pPr>
      <w:r>
        <w:rPr>
          <w:rFonts w:ascii="Times New Roman" w:hAnsi="Times New Roman"/>
          <w:b/>
        </w:rPr>
        <w:t>Keywords.</w:t>
      </w:r>
      <w:r w:rsidR="00781254">
        <w:rPr>
          <w:rFonts w:ascii="Times New Roman" w:hAnsi="Times New Roman"/>
          <w:color w:val="auto"/>
          <w:sz w:val="22"/>
        </w:rPr>
        <w:t>Space Conditioni</w:t>
      </w:r>
      <w:r w:rsidR="000F1423">
        <w:rPr>
          <w:rFonts w:ascii="Times New Roman" w:hAnsi="Times New Roman"/>
          <w:color w:val="auto"/>
          <w:sz w:val="22"/>
        </w:rPr>
        <w:t>ng, HVAC, Lighting, Facilities.</w:t>
      </w:r>
    </w:p>
    <w:p w:rsidR="00EA3F4B" w:rsidRDefault="00EA3F4B">
      <w:pPr>
        <w:pStyle w:val="section"/>
        <w:spacing w:before="0"/>
        <w:rPr>
          <w:rFonts w:ascii="Times New Roman" w:hAnsi="Times New Roman"/>
        </w:rPr>
      </w:pPr>
      <w:r w:rsidRPr="00CE57CF">
        <w:rPr>
          <w:rFonts w:ascii="Times New Roman" w:hAnsi="Times New Roman"/>
        </w:rPr>
        <w:t>Introduction</w:t>
      </w:r>
    </w:p>
    <w:p w:rsidR="00C939D0" w:rsidRDefault="00C939D0" w:rsidP="00C939D0">
      <w:pPr>
        <w:pStyle w:val="section"/>
        <w:numPr>
          <w:ilvl w:val="0"/>
          <w:numId w:val="0"/>
        </w:numPr>
        <w:spacing w:before="0"/>
        <w:rPr>
          <w:rFonts w:ascii="Times New Roman" w:hAnsi="Times New Roman"/>
        </w:rPr>
      </w:pPr>
    </w:p>
    <w:p w:rsidR="00876481" w:rsidRPr="00876481" w:rsidRDefault="00BF3E8E" w:rsidP="00781254">
      <w:pPr>
        <w:pStyle w:val="BodyChar"/>
        <w:rPr>
          <w:color w:val="151616"/>
        </w:rPr>
      </w:pPr>
      <w:r>
        <w:rPr>
          <w:rFonts w:ascii="Times New Roman" w:hAnsi="Times New Roman"/>
          <w:color w:val="000008"/>
        </w:rPr>
        <w:tab/>
      </w:r>
      <w:r w:rsidR="00781254">
        <w:rPr>
          <w:color w:val="231F20"/>
        </w:rPr>
        <w:t>You can’t manage what you can’t measure. This axiomatic statement holds true in all aspects of life; it is hard to manage one’s weight without a scale and it’s hard to manage how fast oneis traveling without a speedometer. Like- wise, it is hard to manage the energy performance of a building without a similar macro-level indicatinggauge. There is no better way to assess the overall performance of a building than to compare it to other buildings similar inform, function, and location. Unfortunately, this is frequently an acutely difficult task to perform in the pharmaceutical sector. While tools for this evaluation do exist, they are not without their limitations as the approach for comparisonis sometimes over-generalized. Facility design and layout play a dramatic part in the overall utility consumption of a facility as, unlike in the commercial sector, the majority of the energy consumption in pharmaceutical manufacturing buildings lies within the process itself and the systems that support it. Several examples will be presented to show just how profound the differences in energy consumption can be. This article will describe the role of energy performance benchmarking in the pharmaceutical industry, explain why large variations in building performance exist and how to use benchmarking data to drive meaningful results into a successful energy management program.</w:t>
      </w:r>
    </w:p>
    <w:p w:rsidR="00836D1D" w:rsidRDefault="00836D1D" w:rsidP="00165C9A">
      <w:pPr>
        <w:pStyle w:val="section"/>
      </w:pPr>
      <w:r>
        <w:t>Methods</w:t>
      </w:r>
    </w:p>
    <w:p w:rsidR="00431178" w:rsidRPr="007E0E09" w:rsidRDefault="000F1423" w:rsidP="00836D1D">
      <w:pPr>
        <w:pStyle w:val="section"/>
        <w:numPr>
          <w:ilvl w:val="1"/>
          <w:numId w:val="20"/>
        </w:numPr>
      </w:pPr>
      <w:r>
        <w:rPr>
          <w:color w:val="231F20"/>
          <w:w w:val="105"/>
        </w:rPr>
        <w:t>Commercial Building Benchmarking</w:t>
      </w:r>
    </w:p>
    <w:p w:rsidR="00DB05E9" w:rsidRPr="00DB05E9" w:rsidRDefault="00DB05E9" w:rsidP="00E6246A">
      <w:pPr>
        <w:pStyle w:val="BodyText"/>
        <w:ind w:right="110" w:firstLine="720"/>
        <w:jc w:val="both"/>
        <w:rPr>
          <w:rFonts w:ascii="Times New Roman" w:hAnsi="Times New Roman"/>
          <w:color w:val="000008"/>
          <w:szCs w:val="22"/>
        </w:rPr>
      </w:pPr>
      <w:r w:rsidRPr="00DB05E9">
        <w:rPr>
          <w:rFonts w:ascii="Times New Roman" w:hAnsi="Times New Roman"/>
          <w:color w:val="000008"/>
          <w:szCs w:val="22"/>
        </w:rPr>
        <w:t>In the commercial building realm, there are extensive resources available that make this data available for all to use</w:t>
      </w:r>
      <w:r>
        <w:rPr>
          <w:rFonts w:ascii="Times New Roman" w:hAnsi="Times New Roman"/>
          <w:color w:val="000008"/>
          <w:szCs w:val="22"/>
        </w:rPr>
        <w:t xml:space="preserve">. </w:t>
      </w:r>
      <w:r w:rsidRPr="00DB05E9">
        <w:rPr>
          <w:rFonts w:ascii="Times New Roman" w:hAnsi="Times New Roman"/>
          <w:color w:val="000008"/>
          <w:szCs w:val="22"/>
        </w:rPr>
        <w:t>The Commercial Building Energy Consumption Survey (CBECS), managed by the U.S. Energy Information Ad- ministration under the Department of Energy (DOE), has collected and analysed data f</w:t>
      </w:r>
      <w:r>
        <w:rPr>
          <w:rFonts w:ascii="Times New Roman" w:hAnsi="Times New Roman"/>
          <w:color w:val="000008"/>
          <w:szCs w:val="22"/>
        </w:rPr>
        <w:t>or many different types of com</w:t>
      </w:r>
      <w:r w:rsidRPr="00DB05E9">
        <w:rPr>
          <w:rFonts w:ascii="Times New Roman" w:hAnsi="Times New Roman"/>
          <w:color w:val="000008"/>
          <w:szCs w:val="22"/>
        </w:rPr>
        <w:t xml:space="preserve">mercial buildings. The CBECS database is the most robust resource currently available, not only from the quantity of buildings in the survey, but from the vast number of ways that the data has been sliced and diced for comparative purposes as well. </w:t>
      </w:r>
    </w:p>
    <w:p w:rsidR="00DB05E9" w:rsidRDefault="00DB05E9" w:rsidP="00DB05E9">
      <w:pPr>
        <w:pStyle w:val="BodyText"/>
        <w:ind w:right="110" w:firstLine="720"/>
        <w:jc w:val="both"/>
        <w:rPr>
          <w:rFonts w:ascii="Times New Roman" w:hAnsi="Times New Roman"/>
          <w:color w:val="000008"/>
          <w:szCs w:val="22"/>
        </w:rPr>
      </w:pPr>
      <w:r w:rsidRPr="00DB05E9">
        <w:rPr>
          <w:rFonts w:ascii="Times New Roman" w:hAnsi="Times New Roman"/>
          <w:color w:val="000008"/>
          <w:szCs w:val="22"/>
        </w:rPr>
        <w:t>The CBECS is a national survey that collects information on the stock of United States commercial buildings including energy related building characteristics, energy consumption, and expenditures. The buildings in the study incorporate all buildings in which at least half of the floor space is used for a purpose that is not residential, industrial, or agricultural. The survey includes building types that might not tradition- ally be considered commercial, such as schools, correctional institutions, and buildings used for religious worship</w:t>
      </w:r>
      <w:r>
        <w:rPr>
          <w:rFonts w:ascii="Times New Roman" w:hAnsi="Times New Roman"/>
          <w:color w:val="000008"/>
          <w:szCs w:val="22"/>
        </w:rPr>
        <w:t>.</w:t>
      </w:r>
    </w:p>
    <w:p w:rsidR="00DB05E9" w:rsidRDefault="00DB05E9" w:rsidP="00DB05E9">
      <w:pPr>
        <w:pStyle w:val="BodyText"/>
        <w:ind w:right="110" w:firstLine="720"/>
        <w:jc w:val="both"/>
        <w:rPr>
          <w:rFonts w:ascii="Times New Roman" w:hAnsi="Times New Roman"/>
          <w:color w:val="000008"/>
          <w:szCs w:val="22"/>
        </w:rPr>
      </w:pPr>
      <w:r w:rsidRPr="00DB05E9">
        <w:rPr>
          <w:rFonts w:ascii="Times New Roman" w:hAnsi="Times New Roman"/>
          <w:color w:val="000008"/>
          <w:szCs w:val="22"/>
        </w:rPr>
        <w:t xml:space="preserve">The CBECS database has had several setbacks in recent years with the 2007 survey information being thrown out due to insufficient survey methods and the 2011 survey being cancelled due to funding cuts. Fortunately, funding has since been garnered and work on updating the survey for 2012 has recently begun. Regardless of its flaws, the CBECS database remains the best source of reliable information to bench- mark the energy performance of a commercial </w:t>
      </w:r>
      <w:r w:rsidR="00FB661D" w:rsidRPr="00DB05E9">
        <w:rPr>
          <w:rFonts w:ascii="Times New Roman" w:hAnsi="Times New Roman"/>
          <w:color w:val="000008"/>
          <w:szCs w:val="22"/>
        </w:rPr>
        <w:t>building</w:t>
      </w:r>
      <w:r w:rsidR="00FB661D" w:rsidRPr="006404C3">
        <w:rPr>
          <w:rFonts w:ascii="Times New Roman" w:hAnsi="Times New Roman"/>
          <w:color w:val="000008"/>
          <w:szCs w:val="22"/>
        </w:rPr>
        <w:t>.</w:t>
      </w:r>
      <w:r w:rsidR="00FB661D">
        <w:rPr>
          <w:rFonts w:ascii="Times New Roman" w:hAnsi="Times New Roman"/>
          <w:color w:val="000008"/>
          <w:szCs w:val="22"/>
        </w:rPr>
        <w:t xml:space="preserve"> [</w:t>
      </w:r>
      <w:r w:rsidRPr="006404C3">
        <w:rPr>
          <w:rFonts w:ascii="Times New Roman" w:hAnsi="Times New Roman"/>
          <w:color w:val="000008"/>
          <w:szCs w:val="22"/>
        </w:rPr>
        <w:t>1</w:t>
      </w:r>
      <w:r w:rsidR="006404C3">
        <w:rPr>
          <w:rFonts w:ascii="Times New Roman" w:hAnsi="Times New Roman"/>
          <w:color w:val="000008"/>
          <w:szCs w:val="22"/>
        </w:rPr>
        <w:t>]</w:t>
      </w:r>
    </w:p>
    <w:p w:rsidR="00DB05E9" w:rsidRPr="00DB05E9" w:rsidRDefault="00DB05E9" w:rsidP="00DB05E9">
      <w:pPr>
        <w:pStyle w:val="BodyText"/>
        <w:ind w:right="110" w:firstLine="720"/>
        <w:jc w:val="both"/>
        <w:rPr>
          <w:rFonts w:ascii="Times New Roman" w:hAnsi="Times New Roman"/>
          <w:color w:val="000008"/>
          <w:szCs w:val="22"/>
        </w:rPr>
      </w:pPr>
      <w:r w:rsidRPr="00DB05E9">
        <w:rPr>
          <w:rFonts w:ascii="Times New Roman" w:hAnsi="Times New Roman"/>
          <w:color w:val="000008"/>
          <w:szCs w:val="22"/>
        </w:rPr>
        <w:lastRenderedPageBreak/>
        <w:t>It is upon this premise that the Environmental Protection Agency’s (EPA) Energy Star building performance rating system has been built upon. Using the information in the CBECS database, energy performance indicator tools exist that allow users to input simple statistics regarding building size, type, location, occupan</w:t>
      </w:r>
      <w:r w:rsidR="006404C3">
        <w:rPr>
          <w:rFonts w:ascii="Times New Roman" w:hAnsi="Times New Roman"/>
          <w:color w:val="000008"/>
          <w:szCs w:val="22"/>
        </w:rPr>
        <w:t>cy and overall utility consump</w:t>
      </w:r>
      <w:r w:rsidRPr="00DB05E9">
        <w:rPr>
          <w:rFonts w:ascii="Times New Roman" w:hAnsi="Times New Roman"/>
          <w:color w:val="000008"/>
          <w:szCs w:val="22"/>
        </w:rPr>
        <w:t xml:space="preserve">tion in exchange for a 1-100 percentile rating that bench- marks the performance of the user’s building against similar buildings. Buildings scoring in the 75th percentile or higher are eligible for the Energy Star certification. The tool com- pares the inputted building </w:t>
      </w:r>
      <w:r w:rsidR="006404C3">
        <w:rPr>
          <w:rFonts w:ascii="Times New Roman" w:hAnsi="Times New Roman"/>
          <w:color w:val="000008"/>
          <w:szCs w:val="22"/>
        </w:rPr>
        <w:t xml:space="preserve">criteria to a normalized model </w:t>
      </w:r>
      <w:r w:rsidRPr="00DB05E9">
        <w:rPr>
          <w:rFonts w:ascii="Times New Roman" w:hAnsi="Times New Roman"/>
          <w:color w:val="000008"/>
          <w:szCs w:val="22"/>
        </w:rPr>
        <w:t>to adjust for inconsistencies in form, function, and location based on the CBECS database.</w:t>
      </w:r>
    </w:p>
    <w:p w:rsidR="00DB05E9" w:rsidRDefault="00DB05E9" w:rsidP="00DB05E9">
      <w:pPr>
        <w:pStyle w:val="BodyText"/>
        <w:ind w:right="110" w:firstLine="720"/>
        <w:jc w:val="both"/>
        <w:rPr>
          <w:rFonts w:ascii="Times New Roman" w:hAnsi="Times New Roman"/>
          <w:color w:val="000008"/>
          <w:szCs w:val="22"/>
        </w:rPr>
      </w:pPr>
      <w:r w:rsidRPr="00DB05E9">
        <w:rPr>
          <w:rFonts w:ascii="Times New Roman" w:hAnsi="Times New Roman"/>
          <w:color w:val="000008"/>
          <w:szCs w:val="22"/>
        </w:rPr>
        <w:t xml:space="preserve">Commercial buildings have a common bond in their primary function in that they are designed primarily to maintain the comfort of the occupants. Lighting and space conditioning (heating, ventilation and air conditioning) </w:t>
      </w:r>
      <w:r w:rsidR="006404C3">
        <w:rPr>
          <w:rFonts w:ascii="Times New Roman" w:hAnsi="Times New Roman"/>
          <w:color w:val="000008"/>
          <w:szCs w:val="22"/>
        </w:rPr>
        <w:t>en</w:t>
      </w:r>
      <w:r w:rsidRPr="00DB05E9">
        <w:rPr>
          <w:rFonts w:ascii="Times New Roman" w:hAnsi="Times New Roman"/>
          <w:color w:val="000008"/>
          <w:szCs w:val="22"/>
        </w:rPr>
        <w:t>ergy consumption are relatively similar and vary predictably with only a few variables</w:t>
      </w:r>
      <w:r w:rsidR="006404C3">
        <w:rPr>
          <w:rFonts w:ascii="Times New Roman" w:hAnsi="Times New Roman"/>
          <w:color w:val="000008"/>
          <w:szCs w:val="22"/>
        </w:rPr>
        <w:t>. Based upon the EIA Annual En</w:t>
      </w:r>
      <w:r w:rsidRPr="00DB05E9">
        <w:rPr>
          <w:rFonts w:ascii="Times New Roman" w:hAnsi="Times New Roman"/>
          <w:color w:val="000008"/>
          <w:szCs w:val="22"/>
        </w:rPr>
        <w:t>ergy Outlook 2012, lighting and space conditioning account for 13.6% and 47.3% respectively (60.9% combined) of the total building energy cons</w:t>
      </w:r>
      <w:r w:rsidR="006404C3">
        <w:rPr>
          <w:rFonts w:ascii="Times New Roman" w:hAnsi="Times New Roman"/>
          <w:color w:val="000008"/>
          <w:szCs w:val="22"/>
        </w:rPr>
        <w:t>umption footprint.2 The remain</w:t>
      </w:r>
      <w:r w:rsidRPr="00DB05E9">
        <w:rPr>
          <w:rFonts w:ascii="Times New Roman" w:hAnsi="Times New Roman"/>
          <w:color w:val="000008"/>
          <w:szCs w:val="22"/>
        </w:rPr>
        <w:t>ing consumption is allocated between various plug loads and water heating requirements as shown in Figure 1.</w:t>
      </w:r>
    </w:p>
    <w:p w:rsidR="000026B6" w:rsidRDefault="000026B6" w:rsidP="000026B6">
      <w:pPr>
        <w:pStyle w:val="BodyText"/>
        <w:ind w:right="110" w:firstLine="720"/>
        <w:jc w:val="center"/>
        <w:rPr>
          <w:rFonts w:ascii="Times New Roman" w:hAnsi="Times New Roman"/>
          <w:color w:val="000008"/>
          <w:szCs w:val="22"/>
        </w:rPr>
      </w:pPr>
      <w:r>
        <w:rPr>
          <w:noProof/>
          <w:sz w:val="20"/>
          <w:lang w:val="en-US" w:bidi="sa-IN"/>
        </w:rPr>
        <w:drawing>
          <wp:inline distT="0" distB="0" distL="0" distR="0">
            <wp:extent cx="3070847" cy="16573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070847" cy="1657350"/>
                    </a:xfrm>
                    <a:prstGeom prst="rect">
                      <a:avLst/>
                    </a:prstGeom>
                  </pic:spPr>
                </pic:pic>
              </a:graphicData>
            </a:graphic>
          </wp:inline>
        </w:drawing>
      </w:r>
    </w:p>
    <w:p w:rsidR="000026B6" w:rsidRPr="000026B6" w:rsidRDefault="000026B6" w:rsidP="000026B6">
      <w:pPr>
        <w:pStyle w:val="BodyText"/>
        <w:jc w:val="center"/>
        <w:rPr>
          <w:rFonts w:ascii="Times New Roman" w:hAnsi="Times New Roman"/>
          <w:color w:val="000008"/>
          <w:szCs w:val="22"/>
        </w:rPr>
      </w:pPr>
      <w:r w:rsidRPr="000026B6">
        <w:rPr>
          <w:rFonts w:ascii="Times New Roman" w:hAnsi="Times New Roman"/>
          <w:b/>
          <w:color w:val="000008"/>
          <w:szCs w:val="22"/>
        </w:rPr>
        <w:t xml:space="preserve">Figure 1. </w:t>
      </w:r>
      <w:r w:rsidRPr="000026B6">
        <w:rPr>
          <w:rFonts w:ascii="Times New Roman" w:hAnsi="Times New Roman"/>
          <w:color w:val="000008"/>
          <w:szCs w:val="22"/>
        </w:rPr>
        <w:t>Commercial building energy consumption by end use.</w:t>
      </w:r>
    </w:p>
    <w:p w:rsidR="00DB05E9" w:rsidRPr="00DB05E9" w:rsidRDefault="00DB05E9" w:rsidP="00DB05E9">
      <w:pPr>
        <w:pStyle w:val="BodyText"/>
        <w:ind w:right="110" w:firstLine="720"/>
        <w:jc w:val="both"/>
        <w:rPr>
          <w:rFonts w:ascii="Times New Roman" w:hAnsi="Times New Roman"/>
          <w:color w:val="000008"/>
          <w:szCs w:val="22"/>
        </w:rPr>
      </w:pPr>
      <w:r w:rsidRPr="00DB05E9">
        <w:rPr>
          <w:rFonts w:ascii="Times New Roman" w:hAnsi="Times New Roman"/>
          <w:color w:val="000008"/>
          <w:szCs w:val="22"/>
        </w:rPr>
        <w:t>Since the majority of the commercial building energy consumption is dedicated to lighting and environmental comfort systems, the Energy Star tool needs only to prompt the user for a small number of inputs to be able to quickly normalize the subject building to the model and develop a highly reliable energy performance benchmark.</w:t>
      </w:r>
    </w:p>
    <w:p w:rsidR="00431178" w:rsidRPr="007E0E09" w:rsidRDefault="00DB05E9" w:rsidP="00836D1D">
      <w:pPr>
        <w:pStyle w:val="section"/>
        <w:numPr>
          <w:ilvl w:val="1"/>
          <w:numId w:val="20"/>
        </w:numPr>
        <w:rPr>
          <w:rFonts w:ascii="Times New Roman" w:hAnsi="Times New Roman"/>
          <w:b w:val="0"/>
        </w:rPr>
      </w:pPr>
      <w:r>
        <w:rPr>
          <w:color w:val="231F20"/>
          <w:w w:val="105"/>
        </w:rPr>
        <w:t>Pharmaceutical Building Benchmarking</w:t>
      </w:r>
    </w:p>
    <w:p w:rsidR="006404C3" w:rsidRDefault="00FD4646" w:rsidP="00FD4646">
      <w:pPr>
        <w:pStyle w:val="BodyText"/>
        <w:ind w:right="110" w:firstLine="720"/>
        <w:jc w:val="both"/>
        <w:rPr>
          <w:rFonts w:ascii="Times New Roman" w:hAnsi="Times New Roman"/>
          <w:color w:val="000008"/>
          <w:szCs w:val="22"/>
        </w:rPr>
      </w:pPr>
      <w:r w:rsidRPr="00FD4646">
        <w:rPr>
          <w:rFonts w:ascii="Times New Roman" w:hAnsi="Times New Roman"/>
          <w:color w:val="000008"/>
          <w:szCs w:val="22"/>
        </w:rPr>
        <w:t>Moving out of the commercial</w:t>
      </w:r>
      <w:r w:rsidR="006404C3">
        <w:rPr>
          <w:rFonts w:ascii="Times New Roman" w:hAnsi="Times New Roman"/>
          <w:color w:val="000008"/>
          <w:szCs w:val="22"/>
        </w:rPr>
        <w:t xml:space="preserve"> building realm into the indus</w:t>
      </w:r>
      <w:r w:rsidRPr="00FD4646">
        <w:rPr>
          <w:rFonts w:ascii="Times New Roman" w:hAnsi="Times New Roman"/>
          <w:color w:val="000008"/>
          <w:szCs w:val="22"/>
        </w:rPr>
        <w:t>trial and manufacturing building classes, a problem arises. In general manufacturing, energy is also consumed to con- duct whatever processes are required to make the product. This consumption frequently goes beyond just powering the production equipment itself; it also encompasses increased base building utility system requirements from additional or more stringent HVAC requirem</w:t>
      </w:r>
      <w:r w:rsidR="006404C3">
        <w:rPr>
          <w:rFonts w:ascii="Times New Roman" w:hAnsi="Times New Roman"/>
          <w:color w:val="000008"/>
          <w:szCs w:val="22"/>
        </w:rPr>
        <w:t>ents to greater lighting inten</w:t>
      </w:r>
      <w:r w:rsidRPr="00FD4646">
        <w:rPr>
          <w:rFonts w:ascii="Times New Roman" w:hAnsi="Times New Roman"/>
          <w:color w:val="000008"/>
          <w:szCs w:val="22"/>
        </w:rPr>
        <w:t>sity requirements to additional utilities such as compressed air, vacuum systems, etc. It is this manufacturing energy consumption that is highly v</w:t>
      </w:r>
      <w:r w:rsidR="006404C3">
        <w:rPr>
          <w:rFonts w:ascii="Times New Roman" w:hAnsi="Times New Roman"/>
          <w:color w:val="000008"/>
          <w:szCs w:val="22"/>
        </w:rPr>
        <w:t>ariable and difficult to normal</w:t>
      </w:r>
      <w:r w:rsidRPr="00FD4646">
        <w:rPr>
          <w:rFonts w:ascii="Times New Roman" w:hAnsi="Times New Roman"/>
          <w:color w:val="000008"/>
          <w:szCs w:val="22"/>
        </w:rPr>
        <w:t>ize within a benchmarki</w:t>
      </w:r>
      <w:r w:rsidR="006404C3">
        <w:rPr>
          <w:rFonts w:ascii="Times New Roman" w:hAnsi="Times New Roman"/>
          <w:color w:val="000008"/>
          <w:szCs w:val="22"/>
        </w:rPr>
        <w:t>ng model. This problem is exac</w:t>
      </w:r>
      <w:r w:rsidRPr="00FD4646">
        <w:rPr>
          <w:rFonts w:ascii="Times New Roman" w:hAnsi="Times New Roman"/>
          <w:color w:val="000008"/>
          <w:szCs w:val="22"/>
        </w:rPr>
        <w:t>erbated in the pharmaceutical industry due to the need to maintain critical environmen</w:t>
      </w:r>
      <w:r w:rsidR="006404C3">
        <w:rPr>
          <w:rFonts w:ascii="Times New Roman" w:hAnsi="Times New Roman"/>
          <w:color w:val="000008"/>
          <w:szCs w:val="22"/>
        </w:rPr>
        <w:t xml:space="preserve">ts for production with respect </w:t>
      </w:r>
      <w:r w:rsidRPr="00FD4646">
        <w:rPr>
          <w:rFonts w:ascii="Times New Roman" w:hAnsi="Times New Roman"/>
          <w:color w:val="000008"/>
          <w:szCs w:val="22"/>
        </w:rPr>
        <w:t>to temperature, humidity, room pressurization, cleanliness, containment, and other contributing factors. Building HVAC loads are many times greater than the average commercial building to support these processes. As a result, overall building Energy Usage Intens</w:t>
      </w:r>
      <w:r w:rsidR="006404C3">
        <w:rPr>
          <w:rFonts w:ascii="Times New Roman" w:hAnsi="Times New Roman"/>
          <w:color w:val="000008"/>
          <w:szCs w:val="22"/>
        </w:rPr>
        <w:t>ity (EUI) is typically an order</w:t>
      </w:r>
      <w:r w:rsidRPr="00FD4646">
        <w:rPr>
          <w:rFonts w:ascii="Times New Roman" w:hAnsi="Times New Roman"/>
          <w:color w:val="000008"/>
          <w:szCs w:val="22"/>
        </w:rPr>
        <w:t xml:space="preserve"> of magnitude larger or more. The average recently built (after 2000) commercial office building has an average EUI of 81.4 kBtu/sq. ft. (257 kWh/</w:t>
      </w:r>
      <w:r w:rsidRPr="00FB661D">
        <w:rPr>
          <w:rFonts w:ascii="Times New Roman" w:hAnsi="Times New Roman"/>
          <w:color w:val="000008"/>
          <w:szCs w:val="22"/>
        </w:rPr>
        <w:t>m2</w:t>
      </w:r>
      <w:r w:rsidR="006404C3" w:rsidRPr="00FB661D">
        <w:rPr>
          <w:rFonts w:ascii="Times New Roman" w:hAnsi="Times New Roman"/>
          <w:color w:val="000008"/>
          <w:szCs w:val="22"/>
        </w:rPr>
        <w:t>). [</w:t>
      </w:r>
      <w:r w:rsidRPr="00FB661D">
        <w:rPr>
          <w:rFonts w:ascii="Times New Roman" w:hAnsi="Times New Roman"/>
          <w:color w:val="000008"/>
          <w:szCs w:val="22"/>
        </w:rPr>
        <w:t>3</w:t>
      </w:r>
      <w:r w:rsidR="006404C3" w:rsidRPr="00FB661D">
        <w:rPr>
          <w:rFonts w:ascii="Times New Roman" w:hAnsi="Times New Roman"/>
          <w:color w:val="000008"/>
          <w:szCs w:val="22"/>
        </w:rPr>
        <w:t>]</w:t>
      </w:r>
    </w:p>
    <w:p w:rsidR="00FD4646" w:rsidRDefault="00FD4646" w:rsidP="00FD4646">
      <w:pPr>
        <w:pStyle w:val="BodyText"/>
        <w:ind w:right="110" w:firstLine="720"/>
        <w:jc w:val="both"/>
        <w:rPr>
          <w:color w:val="231F20"/>
          <w:spacing w:val="-1"/>
        </w:rPr>
      </w:pPr>
      <w:r w:rsidRPr="00FD4646">
        <w:rPr>
          <w:rFonts w:ascii="Times New Roman" w:hAnsi="Times New Roman"/>
          <w:color w:val="000008"/>
          <w:szCs w:val="22"/>
        </w:rPr>
        <w:t>Th</w:t>
      </w:r>
      <w:r w:rsidR="006404C3">
        <w:rPr>
          <w:rFonts w:ascii="Times New Roman" w:hAnsi="Times New Roman"/>
          <w:color w:val="000008"/>
          <w:szCs w:val="22"/>
        </w:rPr>
        <w:t>e average pharmaceu</w:t>
      </w:r>
      <w:r w:rsidRPr="00FD4646">
        <w:rPr>
          <w:rFonts w:ascii="Times New Roman" w:hAnsi="Times New Roman"/>
          <w:color w:val="000008"/>
          <w:szCs w:val="22"/>
        </w:rPr>
        <w:t>tical plant has an EUI of 1,210 kBtu/sq. ft. (3,819 kWh/m2).4 Contributing factors to these rel</w:t>
      </w:r>
      <w:r w:rsidR="006404C3">
        <w:rPr>
          <w:rFonts w:ascii="Times New Roman" w:hAnsi="Times New Roman"/>
          <w:color w:val="000008"/>
          <w:szCs w:val="22"/>
        </w:rPr>
        <w:t>atively higher levels in build</w:t>
      </w:r>
      <w:r w:rsidRPr="00FD4646">
        <w:rPr>
          <w:rFonts w:ascii="Times New Roman" w:hAnsi="Times New Roman"/>
          <w:color w:val="000008"/>
          <w:szCs w:val="22"/>
        </w:rPr>
        <w:t>ing HVAC loads compared to general commercial buildings include, but are not limited to, the following:</w:t>
      </w:r>
    </w:p>
    <w:p w:rsidR="00FD4646" w:rsidRPr="00FD4646" w:rsidRDefault="00FD4646" w:rsidP="00FD4646">
      <w:pPr>
        <w:pStyle w:val="ListParagraph"/>
        <w:numPr>
          <w:ilvl w:val="0"/>
          <w:numId w:val="24"/>
        </w:numPr>
        <w:tabs>
          <w:tab w:val="left" w:pos="340"/>
        </w:tabs>
        <w:jc w:val="both"/>
      </w:pPr>
      <w:r w:rsidRPr="00FD4646">
        <w:rPr>
          <w:color w:val="231F20"/>
        </w:rPr>
        <w:lastRenderedPageBreak/>
        <w:t>Increased airflow quantityrequirements</w:t>
      </w:r>
    </w:p>
    <w:p w:rsidR="00FD4646" w:rsidRPr="00FD4646" w:rsidRDefault="00FD4646" w:rsidP="00FD4646">
      <w:pPr>
        <w:pStyle w:val="ListParagraph"/>
        <w:numPr>
          <w:ilvl w:val="0"/>
          <w:numId w:val="24"/>
        </w:numPr>
        <w:tabs>
          <w:tab w:val="left" w:pos="340"/>
        </w:tabs>
        <w:spacing w:before="35"/>
        <w:jc w:val="both"/>
      </w:pPr>
      <w:r w:rsidRPr="00FD4646">
        <w:rPr>
          <w:color w:val="231F20"/>
        </w:rPr>
        <w:t>Increased ventilation requirements</w:t>
      </w:r>
    </w:p>
    <w:p w:rsidR="00FD4646" w:rsidRPr="00FD4646" w:rsidRDefault="00FD4646" w:rsidP="00FD4646">
      <w:pPr>
        <w:pStyle w:val="ListParagraph"/>
        <w:numPr>
          <w:ilvl w:val="0"/>
          <w:numId w:val="24"/>
        </w:numPr>
        <w:tabs>
          <w:tab w:val="left" w:pos="340"/>
        </w:tabs>
        <w:spacing w:before="36"/>
        <w:jc w:val="both"/>
      </w:pPr>
      <w:r w:rsidRPr="00FD4646">
        <w:rPr>
          <w:color w:val="231F20"/>
        </w:rPr>
        <w:t>Increased filtrationrequirements</w:t>
      </w:r>
    </w:p>
    <w:p w:rsidR="00FD4646" w:rsidRPr="00FD4646" w:rsidRDefault="00FD4646" w:rsidP="00FD4646">
      <w:pPr>
        <w:pStyle w:val="BodyText"/>
        <w:numPr>
          <w:ilvl w:val="0"/>
          <w:numId w:val="24"/>
        </w:numPr>
        <w:ind w:right="107"/>
        <w:jc w:val="both"/>
        <w:rPr>
          <w:rFonts w:ascii="Times New Roman" w:hAnsi="Times New Roman"/>
          <w:color w:val="231F20"/>
          <w:sz w:val="28"/>
        </w:rPr>
      </w:pPr>
      <w:r w:rsidRPr="00FD4646">
        <w:rPr>
          <w:rFonts w:ascii="Times New Roman" w:hAnsi="Times New Roman"/>
          <w:color w:val="231F20"/>
        </w:rPr>
        <w:t>Requirements for tight</w:t>
      </w:r>
      <w:r>
        <w:rPr>
          <w:rFonts w:ascii="Times New Roman" w:hAnsi="Times New Roman"/>
          <w:color w:val="231F20"/>
        </w:rPr>
        <w:t>er environmental controls (tem</w:t>
      </w:r>
      <w:r w:rsidRPr="00FD4646">
        <w:rPr>
          <w:rFonts w:ascii="Times New Roman" w:hAnsi="Times New Roman"/>
          <w:color w:val="231F20"/>
        </w:rPr>
        <w:t>perature andhumidity)</w:t>
      </w:r>
    </w:p>
    <w:p w:rsidR="00FD4646" w:rsidRPr="00FD4646" w:rsidRDefault="00FD4646" w:rsidP="00FD4646">
      <w:pPr>
        <w:pStyle w:val="BodyText"/>
        <w:ind w:right="107"/>
        <w:jc w:val="both"/>
        <w:rPr>
          <w:rFonts w:ascii="Times New Roman" w:hAnsi="Times New Roman"/>
          <w:color w:val="231F20"/>
        </w:rPr>
      </w:pPr>
      <w:r w:rsidRPr="00FD4646">
        <w:rPr>
          <w:rFonts w:ascii="Times New Roman" w:hAnsi="Times New Roman"/>
          <w:color w:val="231F20"/>
        </w:rPr>
        <w:t>The above factors lead to higher energy consumption through increased:</w:t>
      </w:r>
    </w:p>
    <w:p w:rsidR="00FD4646" w:rsidRPr="00FD4646" w:rsidRDefault="00FD4646" w:rsidP="00FD4646">
      <w:pPr>
        <w:pStyle w:val="ListParagraph"/>
        <w:numPr>
          <w:ilvl w:val="0"/>
          <w:numId w:val="24"/>
        </w:numPr>
        <w:tabs>
          <w:tab w:val="left" w:pos="340"/>
        </w:tabs>
        <w:spacing w:before="35"/>
        <w:jc w:val="both"/>
        <w:rPr>
          <w:color w:val="231F20"/>
        </w:rPr>
      </w:pPr>
      <w:r w:rsidRPr="00FD4646">
        <w:rPr>
          <w:color w:val="231F20"/>
        </w:rPr>
        <w:t>Cooling loads</w:t>
      </w:r>
    </w:p>
    <w:p w:rsidR="00FD4646" w:rsidRPr="00FD4646" w:rsidRDefault="00FD4646" w:rsidP="00FD4646">
      <w:pPr>
        <w:pStyle w:val="ListParagraph"/>
        <w:numPr>
          <w:ilvl w:val="0"/>
          <w:numId w:val="24"/>
        </w:numPr>
        <w:tabs>
          <w:tab w:val="left" w:pos="340"/>
        </w:tabs>
        <w:spacing w:before="35"/>
        <w:jc w:val="both"/>
        <w:rPr>
          <w:color w:val="231F20"/>
        </w:rPr>
      </w:pPr>
      <w:r w:rsidRPr="00FD4646">
        <w:rPr>
          <w:color w:val="231F20"/>
        </w:rPr>
        <w:t>Preheat loads</w:t>
      </w:r>
    </w:p>
    <w:p w:rsidR="00FD4646" w:rsidRPr="00FD4646" w:rsidRDefault="00FD4646" w:rsidP="00FD4646">
      <w:pPr>
        <w:pStyle w:val="ListParagraph"/>
        <w:numPr>
          <w:ilvl w:val="0"/>
          <w:numId w:val="24"/>
        </w:numPr>
        <w:tabs>
          <w:tab w:val="left" w:pos="340"/>
        </w:tabs>
        <w:spacing w:before="35"/>
        <w:jc w:val="both"/>
        <w:rPr>
          <w:color w:val="231F20"/>
        </w:rPr>
      </w:pPr>
      <w:r w:rsidRPr="00FD4646">
        <w:rPr>
          <w:color w:val="231F20"/>
        </w:rPr>
        <w:t>Reheat loads</w:t>
      </w:r>
    </w:p>
    <w:p w:rsidR="00FD4646" w:rsidRPr="00FD4646" w:rsidRDefault="00FD4646" w:rsidP="00FD4646">
      <w:pPr>
        <w:pStyle w:val="ListParagraph"/>
        <w:numPr>
          <w:ilvl w:val="0"/>
          <w:numId w:val="24"/>
        </w:numPr>
        <w:tabs>
          <w:tab w:val="left" w:pos="340"/>
        </w:tabs>
        <w:spacing w:before="35"/>
        <w:jc w:val="both"/>
        <w:rPr>
          <w:color w:val="231F20"/>
        </w:rPr>
      </w:pPr>
      <w:r w:rsidRPr="00FD4646">
        <w:rPr>
          <w:color w:val="231F20"/>
        </w:rPr>
        <w:t>Fan energy consumption</w:t>
      </w:r>
    </w:p>
    <w:p w:rsidR="00FD4646" w:rsidRDefault="00FD4646" w:rsidP="00FD4646">
      <w:pPr>
        <w:pStyle w:val="ListParagraph"/>
        <w:numPr>
          <w:ilvl w:val="0"/>
          <w:numId w:val="24"/>
        </w:numPr>
        <w:tabs>
          <w:tab w:val="left" w:pos="340"/>
        </w:tabs>
        <w:spacing w:before="35"/>
        <w:jc w:val="both"/>
        <w:rPr>
          <w:color w:val="231F20"/>
        </w:rPr>
      </w:pPr>
      <w:r w:rsidRPr="00FD4646">
        <w:rPr>
          <w:color w:val="231F20"/>
        </w:rPr>
        <w:t>Dehumidification/humidification loads</w:t>
      </w:r>
    </w:p>
    <w:p w:rsidR="00FD4646" w:rsidRDefault="00FD4646" w:rsidP="007E0E09">
      <w:pPr>
        <w:pStyle w:val="BodyText"/>
        <w:ind w:right="107" w:firstLine="720"/>
        <w:jc w:val="both"/>
        <w:rPr>
          <w:rFonts w:ascii="Times New Roman" w:hAnsi="Times New Roman"/>
          <w:color w:val="000008"/>
          <w:szCs w:val="22"/>
        </w:rPr>
      </w:pPr>
    </w:p>
    <w:p w:rsidR="00FD4646" w:rsidRDefault="00FD4646" w:rsidP="00FD4646">
      <w:pPr>
        <w:pStyle w:val="BodyText"/>
        <w:ind w:right="107" w:firstLine="720"/>
        <w:jc w:val="both"/>
        <w:rPr>
          <w:rFonts w:ascii="Times New Roman" w:hAnsi="Times New Roman"/>
          <w:color w:val="000008"/>
          <w:szCs w:val="22"/>
        </w:rPr>
      </w:pPr>
      <w:r w:rsidRPr="00FD4646">
        <w:rPr>
          <w:rFonts w:ascii="Times New Roman" w:hAnsi="Times New Roman"/>
          <w:color w:val="000008"/>
          <w:szCs w:val="22"/>
        </w:rPr>
        <w:t xml:space="preserve">Discussion regarding the quantification and analysis of the causes for increased consumption is a study in itself andis often cumbersome to calculate. For simple comparative purposes however, consider that a standard air </w:t>
      </w:r>
      <w:r w:rsidR="006404C3" w:rsidRPr="00FD4646">
        <w:rPr>
          <w:rFonts w:ascii="Times New Roman" w:hAnsi="Times New Roman"/>
          <w:color w:val="000008"/>
          <w:szCs w:val="22"/>
        </w:rPr>
        <w:t>handling unit</w:t>
      </w:r>
      <w:r w:rsidRPr="00FD4646">
        <w:rPr>
          <w:rFonts w:ascii="Times New Roman" w:hAnsi="Times New Roman"/>
          <w:color w:val="000008"/>
          <w:szCs w:val="22"/>
        </w:rPr>
        <w:t xml:space="preserve"> serving an office area is going to condition and supply between two to six Air Changes Per Hour (ACPH) to the space in a variable air volume control strategy. An analogous air handling unit serving an ISO 14644-1:1999 class 8 (EU Grade C in operation) cleanroom in which pharmaceutical product is being manufactured would typically </w:t>
      </w:r>
      <w:r w:rsidR="006404C3" w:rsidRPr="00FD4646">
        <w:rPr>
          <w:rFonts w:ascii="Times New Roman" w:hAnsi="Times New Roman"/>
          <w:color w:val="000008"/>
          <w:szCs w:val="22"/>
        </w:rPr>
        <w:t>condition and</w:t>
      </w:r>
      <w:r w:rsidRPr="00FD4646">
        <w:rPr>
          <w:rFonts w:ascii="Times New Roman" w:hAnsi="Times New Roman"/>
          <w:color w:val="000008"/>
          <w:szCs w:val="22"/>
        </w:rPr>
        <w:t xml:space="preserve"> supply between 20 and 35 ACPH to the cleanroom in a constant volume control strategy. </w:t>
      </w:r>
      <w:r w:rsidR="006404C3">
        <w:rPr>
          <w:rFonts w:ascii="Times New Roman" w:hAnsi="Times New Roman"/>
          <w:color w:val="000008"/>
          <w:szCs w:val="22"/>
        </w:rPr>
        <w:t>This represents approxi</w:t>
      </w:r>
      <w:r w:rsidRPr="00FD4646">
        <w:rPr>
          <w:rFonts w:ascii="Times New Roman" w:hAnsi="Times New Roman"/>
          <w:color w:val="000008"/>
          <w:szCs w:val="22"/>
        </w:rPr>
        <w:t xml:space="preserve">mately a four to </w:t>
      </w:r>
      <w:r w:rsidR="00FB661D" w:rsidRPr="00FD4646">
        <w:rPr>
          <w:rFonts w:ascii="Times New Roman" w:hAnsi="Times New Roman"/>
          <w:color w:val="000008"/>
          <w:szCs w:val="22"/>
        </w:rPr>
        <w:t>six-fold</w:t>
      </w:r>
      <w:r w:rsidR="006404C3">
        <w:rPr>
          <w:rFonts w:ascii="Times New Roman" w:hAnsi="Times New Roman"/>
          <w:color w:val="000008"/>
          <w:szCs w:val="22"/>
        </w:rPr>
        <w:t xml:space="preserve"> increase in HVAC energy expen</w:t>
      </w:r>
      <w:r w:rsidRPr="00FD4646">
        <w:rPr>
          <w:rFonts w:ascii="Times New Roman" w:hAnsi="Times New Roman"/>
          <w:color w:val="000008"/>
          <w:szCs w:val="22"/>
        </w:rPr>
        <w:t>diture before tighter temperature and relative humidity control requirements, increased outside air requirements, and additional filtration are considered. With the additional energy consumption of the manufacturing systems and processes themselves, it can easily be seen how the overall energy consumption of pharmaceutical facilities becomes far more intensive than their commercial facility counterparts</w:t>
      </w:r>
      <w:r>
        <w:rPr>
          <w:rFonts w:ascii="Times New Roman" w:hAnsi="Times New Roman"/>
          <w:color w:val="000008"/>
          <w:szCs w:val="22"/>
        </w:rPr>
        <w:t>.</w:t>
      </w:r>
    </w:p>
    <w:p w:rsidR="00FD4646" w:rsidRPr="00FD4646" w:rsidRDefault="00FD4646" w:rsidP="00FD4646">
      <w:pPr>
        <w:pStyle w:val="BodyText"/>
        <w:ind w:right="107" w:firstLine="720"/>
        <w:jc w:val="both"/>
        <w:rPr>
          <w:rFonts w:ascii="Times New Roman" w:hAnsi="Times New Roman"/>
          <w:color w:val="000008"/>
          <w:szCs w:val="22"/>
        </w:rPr>
      </w:pPr>
      <w:r w:rsidRPr="00FD4646">
        <w:rPr>
          <w:rFonts w:ascii="Times New Roman" w:hAnsi="Times New Roman"/>
          <w:color w:val="000008"/>
          <w:szCs w:val="22"/>
        </w:rPr>
        <w:t>Based on the unique nature of the industry and the in- ability of existing tools to effectively gauge the performance of these buildings, the</w:t>
      </w:r>
      <w:r w:rsidR="006404C3">
        <w:rPr>
          <w:rFonts w:ascii="Times New Roman" w:hAnsi="Times New Roman"/>
          <w:color w:val="000008"/>
          <w:szCs w:val="22"/>
        </w:rPr>
        <w:t xml:space="preserve"> EPA Energy Star program devel</w:t>
      </w:r>
      <w:r w:rsidRPr="00FD4646">
        <w:rPr>
          <w:rFonts w:ascii="Times New Roman" w:hAnsi="Times New Roman"/>
          <w:color w:val="000008"/>
          <w:szCs w:val="22"/>
        </w:rPr>
        <w:t xml:space="preserve">oped a meaningful comparative tool uniquely dedicated to benchmarking energy consumption in the pharmaceutical industry. Led primarily by energy managers from several major drug manufacturers, the Energy Star program </w:t>
      </w:r>
      <w:r w:rsidR="006404C3" w:rsidRPr="00FD4646">
        <w:rPr>
          <w:rFonts w:ascii="Times New Roman" w:hAnsi="Times New Roman"/>
          <w:color w:val="000008"/>
          <w:szCs w:val="22"/>
        </w:rPr>
        <w:t>began a</w:t>
      </w:r>
      <w:r w:rsidRPr="00FD4646">
        <w:rPr>
          <w:rFonts w:ascii="Times New Roman" w:hAnsi="Times New Roman"/>
          <w:color w:val="000008"/>
          <w:szCs w:val="22"/>
        </w:rPr>
        <w:t xml:space="preserve"> pharmaceutical industry focus early in 2005.5 From those initial efforts, the first versi</w:t>
      </w:r>
      <w:r w:rsidR="006404C3">
        <w:rPr>
          <w:rFonts w:ascii="Times New Roman" w:hAnsi="Times New Roman"/>
          <w:color w:val="000008"/>
          <w:szCs w:val="22"/>
        </w:rPr>
        <w:t>on of the pharmaceutical indus</w:t>
      </w:r>
      <w:r w:rsidRPr="00FD4646">
        <w:rPr>
          <w:rFonts w:ascii="Times New Roman" w:hAnsi="Times New Roman"/>
          <w:color w:val="000008"/>
          <w:szCs w:val="22"/>
        </w:rPr>
        <w:t>try Energy Performance Indicator (EPI) tool was developed and published at the end of 2008. Last updated in the summer of 2012, the tool seeks to normalize and benchmark facility energy performance of facilities located in the United States across three major categories:</w:t>
      </w:r>
    </w:p>
    <w:p w:rsidR="00FD4646" w:rsidRPr="00FD4646" w:rsidRDefault="00FD4646" w:rsidP="00FD4646">
      <w:pPr>
        <w:pStyle w:val="ListParagraph"/>
        <w:numPr>
          <w:ilvl w:val="0"/>
          <w:numId w:val="24"/>
        </w:numPr>
        <w:tabs>
          <w:tab w:val="left" w:pos="340"/>
        </w:tabs>
        <w:spacing w:before="35"/>
        <w:jc w:val="both"/>
        <w:rPr>
          <w:color w:val="231F20"/>
        </w:rPr>
      </w:pPr>
      <w:r w:rsidRPr="00FD4646">
        <w:rPr>
          <w:color w:val="231F20"/>
        </w:rPr>
        <w:t>Bulk Chemical (Active Pharmaceutical Ingredients and Excipients) – areas where both active and inactive</w:t>
      </w:r>
    </w:p>
    <w:p w:rsidR="00FD4646" w:rsidRPr="00FD4646" w:rsidRDefault="00FD4646" w:rsidP="00FD4646">
      <w:pPr>
        <w:pStyle w:val="ListParagraph"/>
        <w:numPr>
          <w:ilvl w:val="0"/>
          <w:numId w:val="24"/>
        </w:numPr>
        <w:tabs>
          <w:tab w:val="left" w:pos="340"/>
        </w:tabs>
        <w:spacing w:before="35"/>
        <w:jc w:val="both"/>
        <w:rPr>
          <w:color w:val="231F20"/>
        </w:rPr>
      </w:pPr>
      <w:r>
        <w:rPr>
          <w:color w:val="231F20"/>
        </w:rPr>
        <w:t>ingredients are prepared in bulk form, including mixing, milling and drying of powders, and the mixing of liquids, gels and creams.</w:t>
      </w:r>
      <w:r w:rsidR="006404C3">
        <w:rPr>
          <w:color w:val="231F20"/>
        </w:rPr>
        <w:t xml:space="preserve"> [</w:t>
      </w:r>
      <w:r w:rsidRPr="00FD4646">
        <w:rPr>
          <w:color w:val="231F20"/>
        </w:rPr>
        <w:t>6</w:t>
      </w:r>
      <w:r w:rsidR="006404C3">
        <w:rPr>
          <w:color w:val="231F20"/>
        </w:rPr>
        <w:t>]</w:t>
      </w:r>
    </w:p>
    <w:p w:rsidR="00FD4646" w:rsidRPr="00FD4646" w:rsidRDefault="00FD4646" w:rsidP="00FD4646">
      <w:pPr>
        <w:pStyle w:val="ListParagraph"/>
        <w:numPr>
          <w:ilvl w:val="0"/>
          <w:numId w:val="24"/>
        </w:numPr>
        <w:tabs>
          <w:tab w:val="left" w:pos="340"/>
        </w:tabs>
        <w:spacing w:before="35"/>
        <w:jc w:val="both"/>
        <w:rPr>
          <w:color w:val="231F20"/>
        </w:rPr>
      </w:pPr>
      <w:r w:rsidRPr="00FD4646">
        <w:rPr>
          <w:color w:val="231F20"/>
        </w:rPr>
        <w:t>Fill/Finish – all areas used for fill or finish processes or other manufacturing, production or warehousing with climate controlled envir</w:t>
      </w:r>
      <w:r>
        <w:rPr>
          <w:color w:val="231F20"/>
        </w:rPr>
        <w:t>onments due to product require</w:t>
      </w:r>
      <w:r w:rsidRPr="00FD4646">
        <w:rPr>
          <w:color w:val="231F20"/>
        </w:rPr>
        <w:t>ments. Fill/finish includes tableting, encapsulation of powders or liquids, the final packaging of the product and the filling of liquids, gels or creams in their consumer packages.</w:t>
      </w:r>
      <w:r w:rsidR="006404C3">
        <w:rPr>
          <w:color w:val="231F20"/>
        </w:rPr>
        <w:t xml:space="preserve"> [</w:t>
      </w:r>
      <w:r w:rsidRPr="00FD4646">
        <w:rPr>
          <w:color w:val="231F20"/>
        </w:rPr>
        <w:t>6</w:t>
      </w:r>
      <w:r w:rsidR="006404C3">
        <w:rPr>
          <w:color w:val="231F20"/>
        </w:rPr>
        <w:t>]</w:t>
      </w:r>
    </w:p>
    <w:p w:rsidR="00FD4646" w:rsidRPr="00FD4646" w:rsidRDefault="00FD4646" w:rsidP="00FD4646">
      <w:pPr>
        <w:pStyle w:val="ListParagraph"/>
        <w:numPr>
          <w:ilvl w:val="0"/>
          <w:numId w:val="24"/>
        </w:numPr>
        <w:tabs>
          <w:tab w:val="left" w:pos="340"/>
        </w:tabs>
        <w:spacing w:before="35"/>
        <w:jc w:val="both"/>
        <w:rPr>
          <w:color w:val="231F20"/>
        </w:rPr>
      </w:pPr>
      <w:r w:rsidRPr="00FD4646">
        <w:rPr>
          <w:color w:val="231F20"/>
        </w:rPr>
        <w:t>Research and Development – laboratory buildings including animal labs, storage space, in process labs, QA labs and pilot plants.6</w:t>
      </w:r>
    </w:p>
    <w:p w:rsidR="00FD4646" w:rsidRPr="00FD4646" w:rsidRDefault="00FD4646" w:rsidP="00FD4646">
      <w:pPr>
        <w:pStyle w:val="ListParagraph"/>
        <w:numPr>
          <w:ilvl w:val="0"/>
          <w:numId w:val="24"/>
        </w:numPr>
        <w:tabs>
          <w:tab w:val="left" w:pos="340"/>
        </w:tabs>
        <w:spacing w:before="35"/>
        <w:jc w:val="both"/>
        <w:rPr>
          <w:color w:val="231F20"/>
        </w:rPr>
      </w:pPr>
      <w:r w:rsidRPr="00FD4646">
        <w:rPr>
          <w:color w:val="231F20"/>
        </w:rPr>
        <w:t>Other final category dedicated to any area that does not fall into any of the above main categories.</w:t>
      </w:r>
      <w:r w:rsidR="006404C3" w:rsidRPr="00FB661D">
        <w:rPr>
          <w:color w:val="231F20"/>
        </w:rPr>
        <w:t>[</w:t>
      </w:r>
      <w:r w:rsidRPr="00FB661D">
        <w:rPr>
          <w:color w:val="231F20"/>
        </w:rPr>
        <w:t>6</w:t>
      </w:r>
      <w:r w:rsidR="006404C3" w:rsidRPr="00FB661D">
        <w:rPr>
          <w:color w:val="231F20"/>
        </w:rPr>
        <w:t>]</w:t>
      </w:r>
    </w:p>
    <w:p w:rsidR="00FD4646" w:rsidRDefault="00FD4646" w:rsidP="00FD4646">
      <w:pPr>
        <w:pStyle w:val="BodyText"/>
        <w:ind w:right="107" w:firstLine="720"/>
        <w:jc w:val="both"/>
        <w:rPr>
          <w:rFonts w:ascii="Times New Roman" w:hAnsi="Times New Roman"/>
          <w:color w:val="000008"/>
          <w:szCs w:val="22"/>
        </w:rPr>
      </w:pPr>
    </w:p>
    <w:p w:rsidR="00FD4646" w:rsidRPr="00FD4646" w:rsidRDefault="00FD4646" w:rsidP="00FD4646">
      <w:pPr>
        <w:pStyle w:val="BodyText"/>
        <w:ind w:right="107" w:firstLine="720"/>
        <w:jc w:val="both"/>
        <w:rPr>
          <w:rFonts w:ascii="Times New Roman" w:hAnsi="Times New Roman"/>
          <w:color w:val="000008"/>
          <w:szCs w:val="22"/>
        </w:rPr>
      </w:pPr>
      <w:r w:rsidRPr="00FD4646">
        <w:rPr>
          <w:rFonts w:ascii="Times New Roman" w:hAnsi="Times New Roman"/>
          <w:color w:val="000008"/>
          <w:szCs w:val="22"/>
        </w:rPr>
        <w:lastRenderedPageBreak/>
        <w:t>Since data regarding space allocation in the above categories is not collected in the Censu</w:t>
      </w:r>
      <w:r w:rsidRPr="00FB661D">
        <w:rPr>
          <w:rFonts w:ascii="Times New Roman" w:hAnsi="Times New Roman"/>
          <w:color w:val="000008"/>
          <w:szCs w:val="22"/>
        </w:rPr>
        <w:t>s of Manufacturers, data had to be provided directly from participating entities within the program.</w:t>
      </w:r>
      <w:r w:rsidR="006404C3" w:rsidRPr="00FB661D">
        <w:rPr>
          <w:rFonts w:ascii="Times New Roman" w:hAnsi="Times New Roman"/>
          <w:color w:val="000008"/>
          <w:szCs w:val="22"/>
        </w:rPr>
        <w:t xml:space="preserve"> [</w:t>
      </w:r>
      <w:r w:rsidRPr="00FB661D">
        <w:rPr>
          <w:rFonts w:ascii="Times New Roman" w:hAnsi="Times New Roman"/>
          <w:color w:val="000008"/>
          <w:szCs w:val="22"/>
        </w:rPr>
        <w:t>7</w:t>
      </w:r>
      <w:r w:rsidR="006404C3" w:rsidRPr="00FB661D">
        <w:rPr>
          <w:rFonts w:ascii="Times New Roman" w:hAnsi="Times New Roman"/>
          <w:color w:val="000008"/>
          <w:szCs w:val="22"/>
        </w:rPr>
        <w:t>]</w:t>
      </w:r>
      <w:r w:rsidRPr="00FD4646">
        <w:rPr>
          <w:rFonts w:ascii="Times New Roman" w:hAnsi="Times New Roman"/>
          <w:color w:val="000008"/>
          <w:szCs w:val="22"/>
        </w:rPr>
        <w:t xml:space="preserve"> Similar to the commercial buildings program, the pharmaceutical EPI takes several inputs regarding percent- age of facility floor space allocated to the above functions, hours of operation, location, and utility costs and in return will provide a 1 to 100 percentile rating for the facility. This tool also now provides the EPA with a benchmarking tool to grant the Energy Star rating to facilities scoring in the 75th percentile or above, which was not previously possible</w:t>
      </w:r>
      <w:r>
        <w:rPr>
          <w:rFonts w:ascii="Times New Roman" w:hAnsi="Times New Roman"/>
          <w:color w:val="000008"/>
          <w:szCs w:val="22"/>
        </w:rPr>
        <w:t>.</w:t>
      </w:r>
    </w:p>
    <w:p w:rsidR="00431178" w:rsidRPr="00EB6DE3" w:rsidRDefault="00FD4646" w:rsidP="00836D1D">
      <w:pPr>
        <w:pStyle w:val="section"/>
        <w:numPr>
          <w:ilvl w:val="1"/>
          <w:numId w:val="20"/>
        </w:numPr>
        <w:rPr>
          <w:rFonts w:ascii="Times New Roman" w:hAnsi="Times New Roman"/>
          <w:color w:val="000008"/>
        </w:rPr>
      </w:pPr>
      <w:r>
        <w:rPr>
          <w:color w:val="231F20"/>
          <w:w w:val="105"/>
        </w:rPr>
        <w:t>Variations in Benchmarking Data</w:t>
      </w:r>
    </w:p>
    <w:p w:rsidR="00FD4646" w:rsidRPr="00FD4646" w:rsidRDefault="00FD4646" w:rsidP="00FD4646">
      <w:pPr>
        <w:pStyle w:val="BodyText"/>
        <w:ind w:right="107" w:firstLine="720"/>
        <w:jc w:val="both"/>
        <w:rPr>
          <w:rFonts w:ascii="Times New Roman" w:hAnsi="Times New Roman"/>
          <w:color w:val="000008"/>
          <w:szCs w:val="22"/>
        </w:rPr>
      </w:pPr>
      <w:r w:rsidRPr="00FD4646">
        <w:rPr>
          <w:rFonts w:ascii="Times New Roman" w:hAnsi="Times New Roman"/>
          <w:color w:val="000008"/>
          <w:szCs w:val="22"/>
        </w:rPr>
        <w:t xml:space="preserve">When the EPA initiated discussions about developing a plant level benchmarking tool </w:t>
      </w:r>
      <w:r w:rsidR="006404C3">
        <w:rPr>
          <w:rFonts w:ascii="Times New Roman" w:hAnsi="Times New Roman"/>
          <w:color w:val="000008"/>
          <w:szCs w:val="22"/>
        </w:rPr>
        <w:t>with pharmaceutical manufactur</w:t>
      </w:r>
      <w:r w:rsidRPr="00FD4646">
        <w:rPr>
          <w:rFonts w:ascii="Times New Roman" w:hAnsi="Times New Roman"/>
          <w:color w:val="000008"/>
          <w:szCs w:val="22"/>
        </w:rPr>
        <w:t>ers, most initial reactions f</w:t>
      </w:r>
      <w:r w:rsidR="006404C3">
        <w:rPr>
          <w:rFonts w:ascii="Times New Roman" w:hAnsi="Times New Roman"/>
          <w:color w:val="000008"/>
          <w:szCs w:val="22"/>
        </w:rPr>
        <w:t xml:space="preserve">rom experts within these companies were </w:t>
      </w:r>
      <w:r w:rsidR="006404C3" w:rsidRPr="00FD4646">
        <w:rPr>
          <w:rFonts w:ascii="Times New Roman" w:hAnsi="Times New Roman"/>
          <w:color w:val="000008"/>
          <w:szCs w:val="22"/>
        </w:rPr>
        <w:t>sceptical</w:t>
      </w:r>
      <w:r w:rsidRPr="00FD4646">
        <w:rPr>
          <w:rFonts w:ascii="Times New Roman" w:hAnsi="Times New Roman"/>
          <w:color w:val="000008"/>
          <w:szCs w:val="22"/>
        </w:rPr>
        <w:t xml:space="preserve"> about whether a useful benchmark could be developed. The typical approach for the development of EPI’s for other industries is to relate plant input to plant output as expressed as a uni</w:t>
      </w:r>
      <w:r w:rsidR="006404C3">
        <w:rPr>
          <w:rFonts w:ascii="Times New Roman" w:hAnsi="Times New Roman"/>
          <w:color w:val="000008"/>
          <w:szCs w:val="22"/>
        </w:rPr>
        <w:t>t of production. The pharmaceu</w:t>
      </w:r>
      <w:r w:rsidRPr="00FD4646">
        <w:rPr>
          <w:rFonts w:ascii="Times New Roman" w:hAnsi="Times New Roman"/>
          <w:color w:val="000008"/>
          <w:szCs w:val="22"/>
        </w:rPr>
        <w:t xml:space="preserve">tical EPI does not. It was decided that the value of product shipments would not provide a uniform measure of activity since, as discussed above, while the level of production isnot insignificant, much of the energy use in this industry isdevoted to environmental </w:t>
      </w:r>
      <w:r w:rsidRPr="00FB661D">
        <w:rPr>
          <w:rFonts w:ascii="Times New Roman" w:hAnsi="Times New Roman"/>
          <w:color w:val="000008"/>
          <w:szCs w:val="22"/>
        </w:rPr>
        <w:t>control.</w:t>
      </w:r>
      <w:r w:rsidR="006404C3" w:rsidRPr="00FB661D">
        <w:rPr>
          <w:rFonts w:ascii="Times New Roman" w:hAnsi="Times New Roman"/>
          <w:color w:val="000008"/>
          <w:szCs w:val="22"/>
        </w:rPr>
        <w:t xml:space="preserve"> [</w:t>
      </w:r>
      <w:r w:rsidRPr="00FB661D">
        <w:rPr>
          <w:rFonts w:ascii="Times New Roman" w:hAnsi="Times New Roman"/>
          <w:color w:val="000008"/>
          <w:szCs w:val="22"/>
        </w:rPr>
        <w:t>7</w:t>
      </w:r>
      <w:r w:rsidR="006404C3" w:rsidRPr="00FB661D">
        <w:rPr>
          <w:rFonts w:ascii="Times New Roman" w:hAnsi="Times New Roman"/>
          <w:color w:val="000008"/>
          <w:szCs w:val="22"/>
        </w:rPr>
        <w:t>]</w:t>
      </w:r>
    </w:p>
    <w:p w:rsidR="00732EFB" w:rsidRPr="00732EFB" w:rsidRDefault="00732EFB" w:rsidP="00732EFB">
      <w:pPr>
        <w:pStyle w:val="BodyText"/>
        <w:ind w:right="107" w:firstLine="720"/>
        <w:jc w:val="both"/>
        <w:rPr>
          <w:rFonts w:ascii="Times New Roman" w:hAnsi="Times New Roman"/>
          <w:color w:val="000008"/>
          <w:szCs w:val="22"/>
        </w:rPr>
      </w:pPr>
      <w:r w:rsidRPr="00732EFB">
        <w:rPr>
          <w:rFonts w:ascii="Times New Roman" w:hAnsi="Times New Roman"/>
          <w:color w:val="000008"/>
          <w:szCs w:val="22"/>
        </w:rPr>
        <w:t xml:space="preserve">Those involved in the </w:t>
      </w:r>
      <w:r w:rsidR="006404C3">
        <w:rPr>
          <w:rFonts w:ascii="Times New Roman" w:hAnsi="Times New Roman"/>
          <w:color w:val="000008"/>
          <w:szCs w:val="22"/>
        </w:rPr>
        <w:t>development of the tool self ad</w:t>
      </w:r>
      <w:r w:rsidRPr="00732EFB">
        <w:rPr>
          <w:rFonts w:ascii="Times New Roman" w:hAnsi="Times New Roman"/>
          <w:color w:val="000008"/>
          <w:szCs w:val="22"/>
        </w:rPr>
        <w:t xml:space="preserve">mittedly state that normalization of all facilities against the three categories allocated may not be entirely appropriate. Specifically recommended </w:t>
      </w:r>
      <w:r w:rsidR="006404C3">
        <w:rPr>
          <w:rFonts w:ascii="Times New Roman" w:hAnsi="Times New Roman"/>
          <w:color w:val="000008"/>
          <w:szCs w:val="22"/>
        </w:rPr>
        <w:t>in this article is the develop</w:t>
      </w:r>
      <w:r w:rsidRPr="00732EFB">
        <w:rPr>
          <w:rFonts w:ascii="Times New Roman" w:hAnsi="Times New Roman"/>
          <w:color w:val="000008"/>
          <w:szCs w:val="22"/>
        </w:rPr>
        <w:t>ment of additional categories in accordance with the ISPE Baseline® Guides at a minimum. As a particular example, separate categories should be developed to differentiate the large energy consumption differences that exist between oral solid dose form, aseptic processing, and biopharmaceutical processing. The good engineering practices that govern the design of these types of manufacturing processes are vastly different. Yet, under the current model, these processes are all grouped together.</w:t>
      </w:r>
    </w:p>
    <w:p w:rsidR="00732EFB" w:rsidRPr="00732EFB" w:rsidRDefault="00732EFB" w:rsidP="00732EFB">
      <w:pPr>
        <w:pStyle w:val="BodyText"/>
        <w:ind w:right="107" w:firstLine="720"/>
        <w:jc w:val="both"/>
        <w:rPr>
          <w:rFonts w:ascii="Times New Roman" w:hAnsi="Times New Roman"/>
          <w:color w:val="000008"/>
          <w:szCs w:val="22"/>
        </w:rPr>
      </w:pPr>
      <w:r w:rsidRPr="00732EFB">
        <w:rPr>
          <w:rFonts w:ascii="Times New Roman" w:hAnsi="Times New Roman"/>
          <w:color w:val="000008"/>
          <w:szCs w:val="22"/>
        </w:rPr>
        <w:t xml:space="preserve">Even among the subsets </w:t>
      </w:r>
      <w:r w:rsidR="006404C3">
        <w:rPr>
          <w:rFonts w:ascii="Times New Roman" w:hAnsi="Times New Roman"/>
          <w:color w:val="000008"/>
          <w:szCs w:val="22"/>
        </w:rPr>
        <w:t>of different aspects of pharma</w:t>
      </w:r>
      <w:r w:rsidRPr="00732EFB">
        <w:rPr>
          <w:rFonts w:ascii="Times New Roman" w:hAnsi="Times New Roman"/>
          <w:color w:val="000008"/>
          <w:szCs w:val="22"/>
        </w:rPr>
        <w:t>ceutical processing as laid out in the ISPE Baseline® Guides, certain design factors will drastically affect the energy consumption from one facility to the next. For example, cross-contamination concerns</w:t>
      </w:r>
      <w:r w:rsidR="006404C3">
        <w:rPr>
          <w:rFonts w:ascii="Times New Roman" w:hAnsi="Times New Roman"/>
          <w:color w:val="000008"/>
          <w:szCs w:val="22"/>
        </w:rPr>
        <w:t xml:space="preserve"> at an oral solid dosage facil</w:t>
      </w:r>
      <w:r w:rsidRPr="00732EFB">
        <w:rPr>
          <w:rFonts w:ascii="Times New Roman" w:hAnsi="Times New Roman"/>
          <w:color w:val="000008"/>
          <w:szCs w:val="22"/>
        </w:rPr>
        <w:t xml:space="preserve">ity handling multiple products may encourage the HVAC system designer to utilize 100% outdoor air, whereas a single product facility may utilize </w:t>
      </w:r>
      <w:r w:rsidR="006404C3">
        <w:rPr>
          <w:rFonts w:ascii="Times New Roman" w:hAnsi="Times New Roman"/>
          <w:color w:val="000008"/>
          <w:szCs w:val="22"/>
        </w:rPr>
        <w:t>a recirculation HVAC system us</w:t>
      </w:r>
      <w:r w:rsidRPr="00732EFB">
        <w:rPr>
          <w:rFonts w:ascii="Times New Roman" w:hAnsi="Times New Roman"/>
          <w:color w:val="000008"/>
          <w:szCs w:val="22"/>
        </w:rPr>
        <w:t>ing supplemental filtration to minimize the risk of airborne cross-contamination. The energy consumption impact of 100% once through systems versus a recirculation system can be as much as three times.</w:t>
      </w:r>
    </w:p>
    <w:p w:rsidR="00732EFB" w:rsidRDefault="00732EFB" w:rsidP="00732EFB">
      <w:pPr>
        <w:pStyle w:val="BodyText"/>
        <w:ind w:right="107" w:firstLine="720"/>
        <w:jc w:val="both"/>
        <w:rPr>
          <w:rFonts w:ascii="Times New Roman" w:hAnsi="Times New Roman"/>
          <w:color w:val="000008"/>
          <w:szCs w:val="22"/>
        </w:rPr>
      </w:pPr>
      <w:r w:rsidRPr="00732EFB">
        <w:rPr>
          <w:rFonts w:ascii="Times New Roman" w:hAnsi="Times New Roman"/>
          <w:color w:val="000008"/>
          <w:szCs w:val="22"/>
        </w:rPr>
        <w:t>Similarly, consider the various cleanroom contamination containment control technologies used in aseptic/sterile processing. Assume the following air change design criteria for this analysis</w:t>
      </w:r>
      <w:r>
        <w:rPr>
          <w:rFonts w:ascii="Times New Roman" w:hAnsi="Times New Roman"/>
          <w:color w:val="000008"/>
          <w:szCs w:val="22"/>
        </w:rPr>
        <w:t>:</w:t>
      </w:r>
    </w:p>
    <w:p w:rsidR="00732EFB" w:rsidRPr="00732EFB" w:rsidRDefault="00732EFB" w:rsidP="00732EFB">
      <w:pPr>
        <w:pStyle w:val="ListParagraph"/>
        <w:numPr>
          <w:ilvl w:val="0"/>
          <w:numId w:val="24"/>
        </w:numPr>
        <w:tabs>
          <w:tab w:val="left" w:pos="340"/>
        </w:tabs>
        <w:spacing w:before="35"/>
        <w:jc w:val="both"/>
        <w:rPr>
          <w:color w:val="231F20"/>
        </w:rPr>
      </w:pPr>
      <w:r w:rsidRPr="00732EFB">
        <w:rPr>
          <w:color w:val="231F20"/>
        </w:rPr>
        <w:t>Unidirectional airflow ISO 5 (in operation) / EU Grade A300 – 600 ACPH</w:t>
      </w:r>
    </w:p>
    <w:p w:rsidR="00732EFB" w:rsidRPr="00732EFB" w:rsidRDefault="00732EFB" w:rsidP="00732EFB">
      <w:pPr>
        <w:pStyle w:val="ListParagraph"/>
        <w:numPr>
          <w:ilvl w:val="0"/>
          <w:numId w:val="24"/>
        </w:numPr>
        <w:tabs>
          <w:tab w:val="left" w:pos="340"/>
        </w:tabs>
        <w:spacing w:before="35"/>
        <w:jc w:val="both"/>
        <w:rPr>
          <w:color w:val="231F20"/>
        </w:rPr>
      </w:pPr>
      <w:r w:rsidRPr="00732EFB">
        <w:rPr>
          <w:color w:val="231F20"/>
        </w:rPr>
        <w:t>Non-unidirectional airflow ISO 7 / EU Grade B – 60 ACPH</w:t>
      </w:r>
    </w:p>
    <w:p w:rsidR="00732EFB" w:rsidRPr="00732EFB" w:rsidRDefault="00732EFB" w:rsidP="00732EFB">
      <w:pPr>
        <w:pStyle w:val="ListParagraph"/>
        <w:numPr>
          <w:ilvl w:val="0"/>
          <w:numId w:val="24"/>
        </w:numPr>
        <w:tabs>
          <w:tab w:val="left" w:pos="340"/>
        </w:tabs>
        <w:spacing w:before="35"/>
        <w:jc w:val="both"/>
        <w:rPr>
          <w:color w:val="231F20"/>
        </w:rPr>
      </w:pPr>
      <w:r w:rsidRPr="00732EFB">
        <w:rPr>
          <w:color w:val="231F20"/>
        </w:rPr>
        <w:t>Non-unidirectional airflow ISO 8 / EU Grade C – 30 ACPH</w:t>
      </w:r>
    </w:p>
    <w:p w:rsidR="00732EFB" w:rsidRDefault="00732EFB" w:rsidP="00732EFB">
      <w:pPr>
        <w:pStyle w:val="ListParagraph"/>
        <w:numPr>
          <w:ilvl w:val="0"/>
          <w:numId w:val="24"/>
        </w:numPr>
        <w:tabs>
          <w:tab w:val="left" w:pos="340"/>
        </w:tabs>
        <w:spacing w:before="35"/>
        <w:jc w:val="both"/>
        <w:rPr>
          <w:color w:val="231F20"/>
        </w:rPr>
      </w:pPr>
      <w:r w:rsidRPr="00732EFB">
        <w:rPr>
          <w:color w:val="231F20"/>
        </w:rPr>
        <w:t>Non-unidirectional airflow controlled unclassified – 15 ACPH</w:t>
      </w:r>
    </w:p>
    <w:p w:rsidR="00732EFB" w:rsidRPr="00732EFB" w:rsidRDefault="00732EFB" w:rsidP="00732EFB">
      <w:pPr>
        <w:pStyle w:val="ListParagraph"/>
        <w:tabs>
          <w:tab w:val="left" w:pos="340"/>
        </w:tabs>
        <w:spacing w:before="35"/>
        <w:ind w:left="1440" w:firstLine="0"/>
        <w:jc w:val="both"/>
        <w:rPr>
          <w:color w:val="231F20"/>
        </w:rPr>
      </w:pPr>
    </w:p>
    <w:p w:rsidR="00732EFB" w:rsidRDefault="00732EFB" w:rsidP="00732EFB">
      <w:pPr>
        <w:pStyle w:val="BodyText"/>
        <w:ind w:right="110" w:firstLine="720"/>
        <w:jc w:val="both"/>
        <w:rPr>
          <w:rFonts w:ascii="Times New Roman" w:hAnsi="Times New Roman"/>
          <w:color w:val="000008"/>
          <w:szCs w:val="22"/>
        </w:rPr>
      </w:pPr>
      <w:r w:rsidRPr="00732EFB">
        <w:rPr>
          <w:rFonts w:ascii="Times New Roman" w:hAnsi="Times New Roman"/>
          <w:color w:val="000008"/>
          <w:szCs w:val="22"/>
        </w:rPr>
        <w:t>The design criteria listed above assumes a conventional recirculation type HVAC system with no unoccupied/silent hour airflow or temperature/humidity setbacks. A vial filling suite using a Restricted Access Barrier System (RABS) re- quires ISO 5 (in operation) (EU Grade A) conditions within the RABS in an ISO 7 (in operation)/ Grade B background as shown in Figure 2.</w:t>
      </w:r>
    </w:p>
    <w:p w:rsidR="00732EFB" w:rsidRPr="00732EFB" w:rsidRDefault="00732EFB" w:rsidP="00732EFB">
      <w:pPr>
        <w:pStyle w:val="BodyText"/>
        <w:ind w:right="110" w:firstLine="720"/>
        <w:jc w:val="both"/>
        <w:rPr>
          <w:rFonts w:ascii="Times New Roman" w:hAnsi="Times New Roman"/>
          <w:color w:val="000008"/>
          <w:szCs w:val="22"/>
        </w:rPr>
      </w:pPr>
      <w:r w:rsidRPr="00732EFB">
        <w:rPr>
          <w:rFonts w:ascii="Times New Roman" w:hAnsi="Times New Roman"/>
          <w:color w:val="000008"/>
          <w:szCs w:val="22"/>
        </w:rPr>
        <w:t>The same vial filling suite utilizing isolator technology instead of a RABS reduces the suite classification requirement to an ISO 8 (in operation)/ Grade C background (note that EU would allow a Grade D background). In addition, the ISO 5 (in operation) environment is completely contained with the micro-environment within the isolator as seen in Figure 3.</w:t>
      </w:r>
    </w:p>
    <w:p w:rsidR="00732EFB" w:rsidRPr="00732EFB" w:rsidRDefault="00732EFB" w:rsidP="00732EFB">
      <w:pPr>
        <w:pStyle w:val="BodyText"/>
        <w:ind w:right="110" w:firstLine="720"/>
        <w:jc w:val="both"/>
        <w:rPr>
          <w:rFonts w:ascii="Times New Roman" w:hAnsi="Times New Roman"/>
          <w:color w:val="000008"/>
          <w:szCs w:val="22"/>
        </w:rPr>
      </w:pPr>
      <w:r w:rsidRPr="00732EFB">
        <w:rPr>
          <w:rFonts w:ascii="Times New Roman" w:hAnsi="Times New Roman"/>
          <w:color w:val="000008"/>
          <w:szCs w:val="22"/>
        </w:rPr>
        <w:t>Analysis of the different containment technologies shows a 30-50% energy savings using isolators versus RABS technologies within the HVAC systems serving the filling suites themselves.</w:t>
      </w:r>
    </w:p>
    <w:p w:rsidR="00732EFB" w:rsidRPr="00732EFB" w:rsidRDefault="00732EFB" w:rsidP="002F6397">
      <w:pPr>
        <w:pStyle w:val="BodyText"/>
        <w:ind w:right="110" w:firstLine="720"/>
        <w:jc w:val="both"/>
        <w:rPr>
          <w:rFonts w:ascii="Times New Roman" w:hAnsi="Times New Roman"/>
          <w:color w:val="000008"/>
          <w:szCs w:val="22"/>
        </w:rPr>
      </w:pPr>
      <w:r w:rsidRPr="00732EFB">
        <w:rPr>
          <w:rFonts w:ascii="Times New Roman" w:hAnsi="Times New Roman"/>
          <w:color w:val="000008"/>
          <w:szCs w:val="22"/>
        </w:rPr>
        <w:lastRenderedPageBreak/>
        <w:t>Based on the dataset gathered for the pharmaceutical EPI tool, the meanfacility is</w:t>
      </w:r>
      <w:r w:rsidR="006404C3">
        <w:rPr>
          <w:rFonts w:ascii="Times New Roman" w:hAnsi="Times New Roman"/>
          <w:color w:val="000008"/>
          <w:szCs w:val="22"/>
        </w:rPr>
        <w:t xml:space="preserve"> 27% bulk chemical (API and ex</w:t>
      </w:r>
      <w:r w:rsidRPr="00732EFB">
        <w:rPr>
          <w:rFonts w:ascii="Times New Roman" w:hAnsi="Times New Roman"/>
          <w:color w:val="000008"/>
          <w:szCs w:val="22"/>
        </w:rPr>
        <w:t>cipient), 20% fill/finish and 10% research and development by space allocation.The remaining 43% is classified in the other designation. The median facility EUI is 1,391 kBtu/sq.ft. (4,391 kWh/ m2) (50th percentile rating). The score needed to qualify for Energy Star (75th percentile) is 806 kBtu/sq.ft. (2,544 kWh/m2).4 The main purpose of the examples presented is to show that oncethe facility</w:t>
      </w:r>
      <w:r w:rsidR="006404C3">
        <w:rPr>
          <w:rFonts w:ascii="Times New Roman" w:hAnsi="Times New Roman"/>
          <w:color w:val="000008"/>
          <w:szCs w:val="22"/>
        </w:rPr>
        <w:t xml:space="preserve"> is designed, the energy perfor</w:t>
      </w:r>
      <w:r w:rsidRPr="00732EFB">
        <w:rPr>
          <w:rFonts w:ascii="Times New Roman" w:hAnsi="Times New Roman"/>
          <w:color w:val="000008"/>
          <w:szCs w:val="22"/>
        </w:rPr>
        <w:t>mance is largely locked in and significant variations can exist. Therefore, it comes into question what the benchmarking data is actually showing; is</w:t>
      </w:r>
      <w:r w:rsidR="006404C3">
        <w:rPr>
          <w:rFonts w:ascii="Times New Roman" w:hAnsi="Times New Roman"/>
          <w:color w:val="000008"/>
          <w:szCs w:val="22"/>
        </w:rPr>
        <w:t xml:space="preserve"> a 75th percentile score depict</w:t>
      </w:r>
      <w:r w:rsidRPr="00732EFB">
        <w:rPr>
          <w:rFonts w:ascii="Times New Roman" w:hAnsi="Times New Roman"/>
          <w:color w:val="000008"/>
          <w:szCs w:val="22"/>
        </w:rPr>
        <w:t>ing the performance of buildings that display significant energy management best practices or is it simply a result of the inherent facility design driven by less stringent process requirements?</w:t>
      </w:r>
    </w:p>
    <w:p w:rsidR="00431178" w:rsidRPr="007E0E09" w:rsidRDefault="002F6397" w:rsidP="00836D1D">
      <w:pPr>
        <w:pStyle w:val="section"/>
        <w:numPr>
          <w:ilvl w:val="1"/>
          <w:numId w:val="20"/>
        </w:numPr>
        <w:rPr>
          <w:rFonts w:ascii="Times New Roman" w:hAnsi="Times New Roman"/>
          <w:b w:val="0"/>
        </w:rPr>
      </w:pPr>
      <w:r>
        <w:rPr>
          <w:color w:val="231F20"/>
          <w:w w:val="105"/>
        </w:rPr>
        <w:t>Making a Meaningful Impact to Facility Energy Reductions</w:t>
      </w:r>
    </w:p>
    <w:p w:rsidR="002F6397" w:rsidRPr="002F6397" w:rsidRDefault="002F6397" w:rsidP="002F6397">
      <w:pPr>
        <w:pStyle w:val="BodyText"/>
        <w:ind w:right="110" w:firstLine="720"/>
        <w:jc w:val="both"/>
        <w:rPr>
          <w:rFonts w:ascii="Times New Roman" w:hAnsi="Times New Roman"/>
          <w:color w:val="000008"/>
          <w:szCs w:val="22"/>
        </w:rPr>
      </w:pPr>
      <w:r w:rsidRPr="002F6397">
        <w:rPr>
          <w:rFonts w:ascii="Times New Roman" w:hAnsi="Times New Roman"/>
          <w:color w:val="000008"/>
          <w:szCs w:val="22"/>
        </w:rPr>
        <w:t>Perhaps it is best to answe</w:t>
      </w:r>
      <w:r w:rsidR="006404C3">
        <w:rPr>
          <w:rFonts w:ascii="Times New Roman" w:hAnsi="Times New Roman"/>
          <w:color w:val="000008"/>
          <w:szCs w:val="22"/>
        </w:rPr>
        <w:t>r a question with another ques</w:t>
      </w:r>
      <w:r w:rsidRPr="002F6397">
        <w:rPr>
          <w:rFonts w:ascii="Times New Roman" w:hAnsi="Times New Roman"/>
          <w:color w:val="000008"/>
          <w:szCs w:val="22"/>
        </w:rPr>
        <w:t xml:space="preserve">tion; does it matter? While the type of facility being </w:t>
      </w:r>
      <w:r w:rsidR="006404C3" w:rsidRPr="002F6397">
        <w:rPr>
          <w:rFonts w:ascii="Times New Roman" w:hAnsi="Times New Roman"/>
          <w:color w:val="000008"/>
          <w:szCs w:val="22"/>
        </w:rPr>
        <w:t>analysed</w:t>
      </w:r>
      <w:r w:rsidRPr="002F6397">
        <w:rPr>
          <w:rFonts w:ascii="Times New Roman" w:hAnsi="Times New Roman"/>
          <w:color w:val="000008"/>
          <w:szCs w:val="22"/>
        </w:rPr>
        <w:t xml:space="preserve"> may be precluded from ultimately achieving an EnergyStar certification, the better use of the EPI tool is to use it as a gauge to measure a fa</w:t>
      </w:r>
      <w:r w:rsidR="006404C3">
        <w:rPr>
          <w:rFonts w:ascii="Times New Roman" w:hAnsi="Times New Roman"/>
          <w:color w:val="000008"/>
          <w:szCs w:val="22"/>
        </w:rPr>
        <w:t>cility’s ongoing energy manage</w:t>
      </w:r>
      <w:r w:rsidRPr="002F6397">
        <w:rPr>
          <w:rFonts w:ascii="Times New Roman" w:hAnsi="Times New Roman"/>
          <w:color w:val="000008"/>
          <w:szCs w:val="22"/>
        </w:rPr>
        <w:t xml:space="preserve">ment strategies over time. A reduction in annual score in an otherwise unchanged building may hint that a tune up is needed via retro-commissioning. The average </w:t>
      </w:r>
      <w:r>
        <w:rPr>
          <w:rFonts w:ascii="Times New Roman" w:hAnsi="Times New Roman"/>
          <w:color w:val="000008"/>
          <w:szCs w:val="22"/>
        </w:rPr>
        <w:t>pharmaceuti</w:t>
      </w:r>
      <w:r w:rsidRPr="002F6397">
        <w:rPr>
          <w:rFonts w:ascii="Times New Roman" w:hAnsi="Times New Roman"/>
          <w:color w:val="000008"/>
          <w:szCs w:val="22"/>
        </w:rPr>
        <w:t>cal facility would need to reduce overall energy consumption by a third to reach the Energy Star threshold; the equivalent of the total EUI of five commercial office buildings of equal size.</w:t>
      </w:r>
    </w:p>
    <w:p w:rsidR="002F6397" w:rsidRDefault="002F6397" w:rsidP="002F6397">
      <w:pPr>
        <w:pStyle w:val="BodyText"/>
        <w:ind w:right="110" w:firstLine="720"/>
        <w:jc w:val="both"/>
        <w:rPr>
          <w:rFonts w:ascii="Times New Roman" w:hAnsi="Times New Roman"/>
          <w:color w:val="000008"/>
          <w:szCs w:val="22"/>
        </w:rPr>
      </w:pPr>
      <w:r w:rsidRPr="002F6397">
        <w:rPr>
          <w:rFonts w:ascii="Times New Roman" w:hAnsi="Times New Roman"/>
          <w:color w:val="000008"/>
          <w:szCs w:val="22"/>
        </w:rPr>
        <w:t xml:space="preserve">While such a task may seem daunting at the onset, most pharmaceutical entities have aggressive internal mandates to reduce energy expenditure year over year. With the cur- rent downward pressure on </w:t>
      </w:r>
      <w:r w:rsidR="00CF1546">
        <w:rPr>
          <w:rFonts w:ascii="Times New Roman" w:hAnsi="Times New Roman"/>
          <w:color w:val="000008"/>
          <w:szCs w:val="22"/>
        </w:rPr>
        <w:t>internal costs, a 5% target re</w:t>
      </w:r>
      <w:r w:rsidRPr="002F6397">
        <w:rPr>
          <w:rFonts w:ascii="Times New Roman" w:hAnsi="Times New Roman"/>
          <w:color w:val="000008"/>
          <w:szCs w:val="22"/>
        </w:rPr>
        <w:t>duction annually is not uncommon. It is not that many years down the road where the Energy Star certification becomes within reach. However, achieving this lofty annual energy reduction goal goes far beyond conventional energy retrofit projects.</w:t>
      </w:r>
    </w:p>
    <w:p w:rsidR="000026B6" w:rsidRDefault="000026B6" w:rsidP="000026B6">
      <w:pPr>
        <w:pStyle w:val="BodyText"/>
        <w:ind w:right="110" w:firstLine="720"/>
        <w:jc w:val="center"/>
        <w:rPr>
          <w:rFonts w:ascii="Times New Roman" w:hAnsi="Times New Roman"/>
          <w:color w:val="000008"/>
          <w:szCs w:val="22"/>
        </w:rPr>
      </w:pPr>
      <w:r>
        <w:rPr>
          <w:noProof/>
          <w:sz w:val="20"/>
          <w:lang w:val="en-US" w:bidi="sa-IN"/>
        </w:rPr>
        <w:drawing>
          <wp:inline distT="0" distB="0" distL="0" distR="0">
            <wp:extent cx="4194977" cy="300809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194977" cy="3008090"/>
                    </a:xfrm>
                    <a:prstGeom prst="rect">
                      <a:avLst/>
                    </a:prstGeom>
                  </pic:spPr>
                </pic:pic>
              </a:graphicData>
            </a:graphic>
          </wp:inline>
        </w:drawing>
      </w:r>
    </w:p>
    <w:p w:rsidR="000026B6" w:rsidRPr="000026B6" w:rsidRDefault="000026B6" w:rsidP="000026B6">
      <w:pPr>
        <w:pStyle w:val="BodyText"/>
        <w:jc w:val="center"/>
        <w:rPr>
          <w:rFonts w:ascii="Times New Roman" w:hAnsi="Times New Roman"/>
          <w:szCs w:val="22"/>
        </w:rPr>
      </w:pPr>
      <w:r w:rsidRPr="000026B6">
        <w:rPr>
          <w:rFonts w:ascii="Times New Roman" w:hAnsi="Times New Roman"/>
          <w:b/>
          <w:color w:val="000008"/>
          <w:szCs w:val="22"/>
        </w:rPr>
        <w:t>Figure 2.</w:t>
      </w:r>
      <w:r w:rsidRPr="000026B6">
        <w:rPr>
          <w:rFonts w:ascii="Times New Roman" w:hAnsi="Times New Roman"/>
          <w:color w:val="000008"/>
          <w:szCs w:val="22"/>
        </w:rPr>
        <w:t xml:space="preserve"> Vial filling suite utilizing a RABS.</w:t>
      </w:r>
      <w:r w:rsidR="006404C3" w:rsidRPr="00FB661D">
        <w:rPr>
          <w:rFonts w:ascii="Times New Roman" w:hAnsi="Times New Roman"/>
          <w:color w:val="000008"/>
          <w:szCs w:val="22"/>
        </w:rPr>
        <w:t>[</w:t>
      </w:r>
      <w:r w:rsidRPr="00FB661D">
        <w:rPr>
          <w:rFonts w:ascii="Times New Roman" w:hAnsi="Times New Roman"/>
          <w:szCs w:val="22"/>
        </w:rPr>
        <w:t>8</w:t>
      </w:r>
      <w:r w:rsidR="006404C3" w:rsidRPr="00FB661D">
        <w:rPr>
          <w:rFonts w:ascii="Times New Roman" w:hAnsi="Times New Roman"/>
          <w:szCs w:val="22"/>
        </w:rPr>
        <w:t>]</w:t>
      </w:r>
    </w:p>
    <w:p w:rsidR="000026B6" w:rsidRPr="001F3737" w:rsidRDefault="001F3737" w:rsidP="000026B6">
      <w:pPr>
        <w:pStyle w:val="BodyText"/>
        <w:ind w:right="110" w:firstLine="720"/>
        <w:jc w:val="both"/>
        <w:rPr>
          <w:rFonts w:ascii="Times New Roman" w:hAnsi="Times New Roman"/>
          <w:color w:val="000008"/>
          <w:szCs w:val="22"/>
        </w:rPr>
      </w:pPr>
      <w:r w:rsidRPr="001F3737">
        <w:rPr>
          <w:rFonts w:ascii="Times New Roman" w:hAnsi="Times New Roman"/>
          <w:color w:val="000008"/>
          <w:szCs w:val="22"/>
        </w:rPr>
        <w:t xml:space="preserve">Based on the breakdown of pharmaceutical energy consumption by end use, it can be seen that traditionally common energy retrofits, such as lighting upgrades or motor replacements, do not make a significant impact. Lighting accounts for only 2 to 3% of overall energy usage in pharmaceutical manufacturing, even a 50% reduction in lighting usage will barely yield significant savings as it pertains to overall facility EUI. Lighting retrofits certainly should not be discounted, especially since they are frequently subsidized by utility rebate programs, which enhance the overall </w:t>
      </w:r>
      <w:r w:rsidRPr="001F3737">
        <w:rPr>
          <w:rFonts w:ascii="Times New Roman" w:hAnsi="Times New Roman"/>
          <w:color w:val="000008"/>
          <w:szCs w:val="22"/>
        </w:rPr>
        <w:lastRenderedPageBreak/>
        <w:t>project payback. However, in this industry, the energy is tied into the process itself and the supporting systems. For example, reducing the overall ventilation rate by only 5 to 10% in a pharmaceutical facility is the equivalent of eliminating the total lighting energy use in the facilit</w:t>
      </w:r>
      <w:r w:rsidRPr="00FB661D">
        <w:rPr>
          <w:rFonts w:ascii="Times New Roman" w:hAnsi="Times New Roman"/>
          <w:color w:val="000008"/>
          <w:szCs w:val="22"/>
        </w:rPr>
        <w:t>y.</w:t>
      </w:r>
      <w:r w:rsidR="006404C3" w:rsidRPr="00FB661D">
        <w:rPr>
          <w:rFonts w:ascii="Times New Roman" w:hAnsi="Times New Roman"/>
          <w:color w:val="000008"/>
          <w:szCs w:val="22"/>
        </w:rPr>
        <w:t xml:space="preserve"> [</w:t>
      </w:r>
      <w:r w:rsidRPr="00FB661D">
        <w:rPr>
          <w:rFonts w:ascii="Times New Roman" w:hAnsi="Times New Roman"/>
          <w:color w:val="000008"/>
          <w:szCs w:val="22"/>
        </w:rPr>
        <w:t>9</w:t>
      </w:r>
      <w:r w:rsidR="006404C3" w:rsidRPr="00FB661D">
        <w:rPr>
          <w:rFonts w:ascii="Times New Roman" w:hAnsi="Times New Roman"/>
          <w:color w:val="000008"/>
          <w:szCs w:val="22"/>
        </w:rPr>
        <w:t>]</w:t>
      </w:r>
    </w:p>
    <w:p w:rsidR="001F3737" w:rsidRPr="001F3737" w:rsidRDefault="001F3737" w:rsidP="001F3737">
      <w:pPr>
        <w:pStyle w:val="BodyText"/>
        <w:ind w:right="110" w:firstLine="720"/>
        <w:jc w:val="both"/>
        <w:rPr>
          <w:rFonts w:ascii="Times New Roman" w:hAnsi="Times New Roman"/>
          <w:color w:val="000008"/>
          <w:szCs w:val="22"/>
        </w:rPr>
      </w:pPr>
      <w:r w:rsidRPr="001F3737">
        <w:rPr>
          <w:rFonts w:ascii="Times New Roman" w:hAnsi="Times New Roman"/>
          <w:color w:val="000008"/>
          <w:szCs w:val="22"/>
        </w:rPr>
        <w:t xml:space="preserve">Significant reductions cannot be achieved unless the process itself is </w:t>
      </w:r>
      <w:r w:rsidR="006404C3" w:rsidRPr="001F3737">
        <w:rPr>
          <w:rFonts w:ascii="Times New Roman" w:hAnsi="Times New Roman"/>
          <w:color w:val="000008"/>
          <w:szCs w:val="22"/>
        </w:rPr>
        <w:t>analysed</w:t>
      </w:r>
      <w:r w:rsidRPr="001F3737">
        <w:rPr>
          <w:rFonts w:ascii="Times New Roman" w:hAnsi="Times New Roman"/>
          <w:color w:val="000008"/>
          <w:szCs w:val="22"/>
        </w:rPr>
        <w:t>, challenged, and optimized. Doing so is a task that requires significant expertise and knowledge regarding the regulatory and cGMP requirements of the manufacturing processes. Maintaining the environment to ensure product integrity and operating personnel protection and comfort are crucial factors that must be accommodated when making any changes to the process to save energy.</w:t>
      </w:r>
    </w:p>
    <w:p w:rsidR="001F3737" w:rsidRPr="001F3737" w:rsidRDefault="001F3737" w:rsidP="001F3737">
      <w:pPr>
        <w:pStyle w:val="section"/>
        <w:numPr>
          <w:ilvl w:val="1"/>
          <w:numId w:val="20"/>
        </w:numPr>
        <w:rPr>
          <w:rFonts w:ascii="Times New Roman" w:hAnsi="Times New Roman"/>
          <w:b w:val="0"/>
        </w:rPr>
      </w:pPr>
      <w:r w:rsidRPr="00BC7AA5">
        <w:rPr>
          <w:color w:val="231F20"/>
          <w:w w:val="105"/>
        </w:rPr>
        <w:t>Current Industry Trend</w:t>
      </w:r>
      <w:r>
        <w:rPr>
          <w:color w:val="231F20"/>
          <w:w w:val="105"/>
        </w:rPr>
        <w:t>s</w:t>
      </w:r>
    </w:p>
    <w:p w:rsidR="001F3737" w:rsidRDefault="001F3737" w:rsidP="002F6397">
      <w:pPr>
        <w:pStyle w:val="BodyText"/>
        <w:ind w:right="110" w:firstLine="720"/>
        <w:jc w:val="both"/>
        <w:rPr>
          <w:rFonts w:ascii="Times New Roman" w:hAnsi="Times New Roman"/>
          <w:color w:val="000008"/>
          <w:szCs w:val="22"/>
        </w:rPr>
      </w:pPr>
      <w:r w:rsidRPr="001F3737">
        <w:rPr>
          <w:rFonts w:ascii="Times New Roman" w:hAnsi="Times New Roman"/>
          <w:color w:val="000008"/>
          <w:szCs w:val="22"/>
        </w:rPr>
        <w:t>In the past, energy expenditures have been a small portion of the total cost of goods in the pharmaceutical industry and thus were not overly a major concern. Over the last decade especially, with incre</w:t>
      </w:r>
      <w:r>
        <w:rPr>
          <w:rFonts w:ascii="Times New Roman" w:hAnsi="Times New Roman"/>
          <w:color w:val="000008"/>
          <w:szCs w:val="22"/>
        </w:rPr>
        <w:t>ased economic headwinds and ris</w:t>
      </w:r>
      <w:r w:rsidRPr="001F3737">
        <w:rPr>
          <w:rFonts w:ascii="Times New Roman" w:hAnsi="Times New Roman"/>
          <w:color w:val="000008"/>
          <w:szCs w:val="22"/>
        </w:rPr>
        <w:t>ing energy costs, energy consumption is being much more scrutinized. Not only is there the impetus to lower overall internal costs, the industry is pushing toward more environ- mental stewardship and carbon reduction in light of largerglobal environmental trends. As a result, energy efficiency is being driven into the technologies used within the industry. For example, isolator technologies currently in production will utilize catalytic conver</w:t>
      </w:r>
      <w:r w:rsidR="006404C3">
        <w:rPr>
          <w:rFonts w:ascii="Times New Roman" w:hAnsi="Times New Roman"/>
          <w:color w:val="000008"/>
          <w:szCs w:val="22"/>
        </w:rPr>
        <w:t>ters to break down Vaporous Hy</w:t>
      </w:r>
      <w:r w:rsidRPr="001F3737">
        <w:rPr>
          <w:rFonts w:ascii="Times New Roman" w:hAnsi="Times New Roman"/>
          <w:color w:val="000008"/>
          <w:szCs w:val="22"/>
        </w:rPr>
        <w:t>drogen Peroxide (VHP) used during decontamination cycles into non-harmful constituents.</w:t>
      </w:r>
      <w:r w:rsidR="006404C3">
        <w:rPr>
          <w:rFonts w:ascii="Times New Roman" w:hAnsi="Times New Roman"/>
          <w:color w:val="000008"/>
          <w:szCs w:val="22"/>
        </w:rPr>
        <w:t xml:space="preserve"> This use of catalytic convert</w:t>
      </w:r>
      <w:r w:rsidRPr="001F3737">
        <w:rPr>
          <w:rFonts w:ascii="Times New Roman" w:hAnsi="Times New Roman"/>
          <w:color w:val="000008"/>
          <w:szCs w:val="22"/>
        </w:rPr>
        <w:t>ers speeds up the aeration process and also negates the need for the HVAC system serving the isolator to go into purge mode (100% once through) during aeration.</w:t>
      </w:r>
    </w:p>
    <w:p w:rsidR="000026B6" w:rsidRPr="001F3737" w:rsidRDefault="000026B6" w:rsidP="002F6397">
      <w:pPr>
        <w:pStyle w:val="BodyText"/>
        <w:ind w:right="110" w:firstLine="720"/>
        <w:jc w:val="both"/>
        <w:rPr>
          <w:rFonts w:ascii="Times New Roman" w:hAnsi="Times New Roman"/>
          <w:color w:val="000008"/>
          <w:szCs w:val="22"/>
        </w:rPr>
      </w:pPr>
      <w:r>
        <w:rPr>
          <w:noProof/>
          <w:lang w:val="en-US" w:bidi="sa-IN"/>
        </w:rPr>
        <w:drawing>
          <wp:anchor distT="0" distB="0" distL="0" distR="0" simplePos="0" relativeHeight="251659264" behindDoc="0" locked="0" layoutInCell="1" allowOverlap="1">
            <wp:simplePos x="0" y="0"/>
            <wp:positionH relativeFrom="page">
              <wp:posOffset>1700530</wp:posOffset>
            </wp:positionH>
            <wp:positionV relativeFrom="paragraph">
              <wp:posOffset>-624</wp:posOffset>
            </wp:positionV>
            <wp:extent cx="4141842" cy="296253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4141842" cy="2962530"/>
                    </a:xfrm>
                    <a:prstGeom prst="rect">
                      <a:avLst/>
                    </a:prstGeom>
                  </pic:spPr>
                </pic:pic>
              </a:graphicData>
            </a:graphic>
          </wp:anchor>
        </w:drawing>
      </w: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Default="000026B6" w:rsidP="000026B6">
      <w:pPr>
        <w:pStyle w:val="BodyText"/>
        <w:ind w:right="110" w:firstLine="720"/>
        <w:jc w:val="both"/>
        <w:rPr>
          <w:rFonts w:ascii="Times New Roman" w:hAnsi="Times New Roman"/>
          <w:color w:val="000008"/>
          <w:szCs w:val="22"/>
        </w:rPr>
      </w:pPr>
    </w:p>
    <w:p w:rsidR="000026B6" w:rsidRPr="000026B6" w:rsidRDefault="000026B6" w:rsidP="000026B6">
      <w:pPr>
        <w:pStyle w:val="BodyText"/>
        <w:ind w:right="110" w:firstLine="720"/>
        <w:jc w:val="center"/>
        <w:rPr>
          <w:rFonts w:ascii="Times New Roman" w:hAnsi="Times New Roman"/>
          <w:color w:val="000008"/>
          <w:szCs w:val="22"/>
        </w:rPr>
      </w:pPr>
      <w:r w:rsidRPr="000026B6">
        <w:rPr>
          <w:rFonts w:ascii="Times New Roman" w:hAnsi="Times New Roman"/>
          <w:b/>
          <w:color w:val="000008"/>
          <w:szCs w:val="22"/>
        </w:rPr>
        <w:t>Figure 3.</w:t>
      </w:r>
      <w:r w:rsidRPr="000026B6">
        <w:rPr>
          <w:rFonts w:ascii="Times New Roman" w:hAnsi="Times New Roman"/>
          <w:color w:val="000008"/>
          <w:szCs w:val="22"/>
        </w:rPr>
        <w:t xml:space="preserve"> Vial filling suite using isolator technology.</w:t>
      </w:r>
    </w:p>
    <w:p w:rsidR="001F3737" w:rsidRPr="002F6397" w:rsidRDefault="001F3737" w:rsidP="000026B6">
      <w:pPr>
        <w:pStyle w:val="BodyText"/>
        <w:ind w:right="110" w:firstLine="720"/>
        <w:jc w:val="both"/>
        <w:rPr>
          <w:rFonts w:ascii="Times New Roman" w:hAnsi="Times New Roman"/>
          <w:color w:val="000008"/>
          <w:szCs w:val="22"/>
        </w:rPr>
      </w:pPr>
      <w:r w:rsidRPr="001F3737">
        <w:rPr>
          <w:rFonts w:ascii="Times New Roman" w:hAnsi="Times New Roman"/>
          <w:color w:val="000008"/>
          <w:szCs w:val="22"/>
        </w:rPr>
        <w:t>As the industry moves forward, energy consumption and cost will continue to be under downward pressure. Unlessa low cost, clean energy sour</w:t>
      </w:r>
      <w:r>
        <w:rPr>
          <w:rFonts w:ascii="Times New Roman" w:hAnsi="Times New Roman"/>
          <w:color w:val="000008"/>
          <w:szCs w:val="22"/>
        </w:rPr>
        <w:t>ce is developed and industrial</w:t>
      </w:r>
      <w:r w:rsidRPr="001F3737">
        <w:rPr>
          <w:rFonts w:ascii="Times New Roman" w:hAnsi="Times New Roman"/>
          <w:color w:val="000008"/>
          <w:szCs w:val="22"/>
        </w:rPr>
        <w:t>ized, there is no near term</w:t>
      </w:r>
      <w:r>
        <w:rPr>
          <w:rFonts w:ascii="Times New Roman" w:hAnsi="Times New Roman"/>
          <w:color w:val="000008"/>
          <w:szCs w:val="22"/>
        </w:rPr>
        <w:t xml:space="preserve"> end in sight. Many large phar</w:t>
      </w:r>
      <w:r w:rsidRPr="001F3737">
        <w:rPr>
          <w:rFonts w:ascii="Times New Roman" w:hAnsi="Times New Roman"/>
          <w:color w:val="000008"/>
          <w:szCs w:val="22"/>
        </w:rPr>
        <w:t>maceutical companies have long since implemented energy management programs, albeit to varying degrees of success.The challenge for some is now becoming how to continue to make improvements once all of the quick wins have been garnered while still remaining</w:t>
      </w:r>
      <w:r>
        <w:rPr>
          <w:rFonts w:ascii="Times New Roman" w:hAnsi="Times New Roman"/>
          <w:color w:val="000008"/>
          <w:szCs w:val="22"/>
        </w:rPr>
        <w:t xml:space="preserve"> fiscally responsible. For oth</w:t>
      </w:r>
      <w:r w:rsidRPr="001F3737">
        <w:rPr>
          <w:rFonts w:ascii="Times New Roman" w:hAnsi="Times New Roman"/>
          <w:color w:val="000008"/>
          <w:szCs w:val="22"/>
        </w:rPr>
        <w:t>ers, mainly contract and generic manufacturers, efforts are ramping up to begin to manage and control energy costs.Where normal business practice has always been first cost sensitive, operating costs are quickly rising to the point where they can no longer be ignored</w:t>
      </w:r>
      <w:r>
        <w:rPr>
          <w:rFonts w:ascii="Times New Roman" w:hAnsi="Times New Roman"/>
          <w:color w:val="000008"/>
          <w:szCs w:val="22"/>
        </w:rPr>
        <w:t>.</w:t>
      </w:r>
    </w:p>
    <w:p w:rsidR="00836D1D" w:rsidRPr="007E0E09" w:rsidRDefault="00836D1D" w:rsidP="00836D1D">
      <w:pPr>
        <w:pStyle w:val="section"/>
        <w:rPr>
          <w:rFonts w:ascii="Times New Roman" w:hAnsi="Times New Roman"/>
          <w:b w:val="0"/>
        </w:rPr>
      </w:pPr>
      <w:r w:rsidRPr="007E0E09">
        <w:rPr>
          <w:rFonts w:ascii="Times New Roman" w:hAnsi="Times New Roman"/>
          <w:color w:val="000008"/>
        </w:rPr>
        <w:lastRenderedPageBreak/>
        <w:t>CONCLUSION</w:t>
      </w:r>
    </w:p>
    <w:p w:rsidR="001F3737" w:rsidRPr="008B4899" w:rsidRDefault="001F3737" w:rsidP="008B4899">
      <w:pPr>
        <w:pStyle w:val="BodyText"/>
        <w:ind w:right="110" w:firstLine="720"/>
        <w:jc w:val="both"/>
        <w:rPr>
          <w:rFonts w:ascii="Times New Roman" w:hAnsi="Times New Roman"/>
          <w:color w:val="000008"/>
          <w:szCs w:val="22"/>
        </w:rPr>
      </w:pPr>
      <w:r w:rsidRPr="008B4899">
        <w:rPr>
          <w:rFonts w:ascii="Times New Roman" w:hAnsi="Times New Roman"/>
          <w:color w:val="000008"/>
          <w:szCs w:val="22"/>
        </w:rPr>
        <w:t xml:space="preserve">Normalizing energy consumption across the pharmaceutical industry as a whole has proven difficult. Placing all of the operations that occur within the manufacturing processes into three separate categories for analysis may not always be specific enough for a true apple to apples comparison between facilities. Unlike in the commercial building sector, a pharmaceutical facility meeting the Energy Star performance threshold may have achieved the certification simply as a result of the process requirements driving the design of the facility without any significant introduction of energy management best practices. Similarly, a facility with many energy optimization strategies </w:t>
      </w:r>
      <w:r w:rsidR="008B4899">
        <w:rPr>
          <w:rFonts w:ascii="Times New Roman" w:hAnsi="Times New Roman"/>
          <w:color w:val="000008"/>
          <w:szCs w:val="22"/>
        </w:rPr>
        <w:t>in place may ultimately be pre</w:t>
      </w:r>
      <w:r w:rsidRPr="008B4899">
        <w:rPr>
          <w:rFonts w:ascii="Times New Roman" w:hAnsi="Times New Roman"/>
          <w:color w:val="000008"/>
          <w:szCs w:val="22"/>
        </w:rPr>
        <w:t xml:space="preserve">cluded from achieving certification based on the original factors considered during its design. However, benchmarking data using the EPI does prove valuable if the results are interpreted in the proper way and even more so if tracked over time. </w:t>
      </w:r>
    </w:p>
    <w:p w:rsidR="008B4899" w:rsidRPr="008B4899" w:rsidRDefault="008B4899" w:rsidP="008B4899">
      <w:pPr>
        <w:pStyle w:val="BodyText"/>
        <w:ind w:right="110" w:firstLine="720"/>
        <w:jc w:val="both"/>
        <w:rPr>
          <w:rFonts w:ascii="Times New Roman" w:hAnsi="Times New Roman"/>
          <w:color w:val="000008"/>
          <w:szCs w:val="22"/>
        </w:rPr>
      </w:pPr>
      <w:r w:rsidRPr="008B4899">
        <w:rPr>
          <w:rFonts w:ascii="Times New Roman" w:hAnsi="Times New Roman"/>
          <w:color w:val="000008"/>
          <w:szCs w:val="22"/>
        </w:rPr>
        <w:t xml:space="preserve">Using </w:t>
      </w:r>
      <w:r>
        <w:rPr>
          <w:rFonts w:ascii="Times New Roman" w:hAnsi="Times New Roman"/>
          <w:color w:val="000008"/>
          <w:szCs w:val="22"/>
        </w:rPr>
        <w:t>the benchmarking tool to estab</w:t>
      </w:r>
      <w:r w:rsidRPr="008B4899">
        <w:rPr>
          <w:rFonts w:ascii="Times New Roman" w:hAnsi="Times New Roman"/>
          <w:color w:val="000008"/>
          <w:szCs w:val="22"/>
        </w:rPr>
        <w:t xml:space="preserve">lish baseline energy performance and updating it on a regular basis will allow the user to monitor how well their facility is performing against its own baseline (which is key to validating the efficacy of the overall energy management </w:t>
      </w:r>
      <w:r>
        <w:rPr>
          <w:rFonts w:ascii="Times New Roman" w:hAnsi="Times New Roman"/>
          <w:color w:val="000008"/>
          <w:szCs w:val="22"/>
        </w:rPr>
        <w:t>pro</w:t>
      </w:r>
      <w:r w:rsidRPr="008B4899">
        <w:rPr>
          <w:rFonts w:ascii="Times New Roman" w:hAnsi="Times New Roman"/>
          <w:color w:val="000008"/>
          <w:szCs w:val="22"/>
        </w:rPr>
        <w:t>gram). While the energy p</w:t>
      </w:r>
      <w:r>
        <w:rPr>
          <w:rFonts w:ascii="Times New Roman" w:hAnsi="Times New Roman"/>
          <w:color w:val="000008"/>
          <w:szCs w:val="22"/>
        </w:rPr>
        <w:t>erformance range of a pharmaceu</w:t>
      </w:r>
      <w:r w:rsidRPr="008B4899">
        <w:rPr>
          <w:rFonts w:ascii="Times New Roman" w:hAnsi="Times New Roman"/>
          <w:color w:val="000008"/>
          <w:szCs w:val="22"/>
        </w:rPr>
        <w:t>tical manufacturing facility is often determined even before the facility is built, through consistent energy management best practices, the facility can certainly optimize the hand it was dealt. This not only is the environmentally responsible thing to do, it is now recognized good business practice.</w:t>
      </w:r>
    </w:p>
    <w:p w:rsidR="00836D1D" w:rsidRDefault="00836D1D" w:rsidP="00C71B83">
      <w:pPr>
        <w:pStyle w:val="Heading2"/>
        <w:numPr>
          <w:ilvl w:val="0"/>
          <w:numId w:val="0"/>
        </w:numPr>
        <w:spacing w:before="0"/>
        <w:rPr>
          <w:rFonts w:ascii="Times New Roman" w:hAnsi="Times New Roman" w:cs="Times New Roman"/>
          <w:color w:val="000008"/>
          <w:sz w:val="22"/>
          <w:szCs w:val="22"/>
        </w:rPr>
      </w:pPr>
    </w:p>
    <w:p w:rsidR="000E30A0" w:rsidRPr="000E30A0" w:rsidRDefault="00431178" w:rsidP="000E30A0">
      <w:pPr>
        <w:pStyle w:val="Heading2"/>
        <w:numPr>
          <w:ilvl w:val="0"/>
          <w:numId w:val="0"/>
        </w:numPr>
        <w:spacing w:before="0"/>
        <w:rPr>
          <w:rFonts w:ascii="Times New Roman" w:hAnsi="Times New Roman" w:cs="Times New Roman"/>
          <w:b w:val="0"/>
          <w:sz w:val="22"/>
          <w:szCs w:val="22"/>
        </w:rPr>
      </w:pPr>
      <w:r w:rsidRPr="007E0E09">
        <w:rPr>
          <w:rFonts w:ascii="Times New Roman" w:hAnsi="Times New Roman" w:cs="Times New Roman"/>
          <w:color w:val="000008"/>
          <w:sz w:val="22"/>
          <w:szCs w:val="22"/>
        </w:rPr>
        <w:t>REFERENCES</w:t>
      </w:r>
    </w:p>
    <w:p w:rsidR="00E576E4" w:rsidRDefault="00E576E4" w:rsidP="008B4899">
      <w:pPr>
        <w:widowControl w:val="0"/>
        <w:autoSpaceDE w:val="0"/>
        <w:autoSpaceDN w:val="0"/>
        <w:ind w:right="189"/>
        <w:rPr>
          <w:rFonts w:ascii="Times New Roman" w:hAnsi="Times New Roman"/>
          <w:color w:val="000008"/>
          <w:szCs w:val="22"/>
        </w:rPr>
      </w:pPr>
      <w:r>
        <w:rPr>
          <w:rFonts w:ascii="Times New Roman" w:hAnsi="Times New Roman"/>
          <w:color w:val="000008"/>
          <w:szCs w:val="22"/>
        </w:rPr>
        <w:t>[1</w:t>
      </w:r>
      <w:r w:rsidRPr="007E0E09">
        <w:rPr>
          <w:rFonts w:ascii="Times New Roman" w:hAnsi="Times New Roman"/>
          <w:color w:val="000008"/>
          <w:szCs w:val="22"/>
        </w:rPr>
        <w:t>]</w:t>
      </w:r>
      <w:r w:rsidR="008B4899" w:rsidRPr="008B4899">
        <w:rPr>
          <w:rFonts w:ascii="Times New Roman" w:hAnsi="Times New Roman"/>
          <w:color w:val="000008"/>
          <w:szCs w:val="22"/>
        </w:rPr>
        <w:t xml:space="preserve">EIA website, Commercial Buildings Energy Consump- tion Survey </w:t>
      </w:r>
      <w:hyperlink r:id="rId11">
        <w:r w:rsidR="008B4899">
          <w:rPr>
            <w:rFonts w:ascii="Times New Roman" w:hAnsi="Times New Roman"/>
            <w:color w:val="000008"/>
            <w:szCs w:val="22"/>
          </w:rPr>
          <w:t xml:space="preserve">Page, </w:t>
        </w:r>
        <w:r w:rsidR="008B4899" w:rsidRPr="008B4899">
          <w:rPr>
            <w:rFonts w:ascii="Times New Roman" w:hAnsi="Times New Roman"/>
            <w:color w:val="000008"/>
            <w:szCs w:val="22"/>
          </w:rPr>
          <w:t>http://www.eia.gov/consumption/</w:t>
        </w:r>
      </w:hyperlink>
      <w:r w:rsidR="008B4899" w:rsidRPr="008B4899">
        <w:rPr>
          <w:rFonts w:ascii="Times New Roman" w:hAnsi="Times New Roman"/>
          <w:color w:val="000008"/>
          <w:szCs w:val="22"/>
        </w:rPr>
        <w:t xml:space="preserve"> commercial, Accessed June 28, 2013</w:t>
      </w:r>
    </w:p>
    <w:p w:rsidR="00A102D2" w:rsidRPr="00910E9A" w:rsidRDefault="008B4899" w:rsidP="008B4899">
      <w:pPr>
        <w:widowControl w:val="0"/>
        <w:autoSpaceDE w:val="0"/>
        <w:autoSpaceDN w:val="0"/>
        <w:ind w:right="189"/>
        <w:rPr>
          <w:rFonts w:ascii="Times New Roman" w:hAnsi="Times New Roman"/>
          <w:color w:val="000008"/>
          <w:szCs w:val="22"/>
        </w:rPr>
      </w:pPr>
      <w:r>
        <w:rPr>
          <w:rFonts w:ascii="Times New Roman" w:hAnsi="Times New Roman"/>
          <w:color w:val="000008"/>
          <w:szCs w:val="22"/>
        </w:rPr>
        <w:t xml:space="preserve">[2] </w:t>
      </w:r>
      <w:r w:rsidRPr="008B4899">
        <w:rPr>
          <w:rFonts w:ascii="Times New Roman" w:hAnsi="Times New Roman"/>
          <w:color w:val="000008"/>
          <w:szCs w:val="22"/>
        </w:rPr>
        <w:t xml:space="preserve">US Department of Energy website, U.S. DOE Buildings Energy Data </w:t>
      </w:r>
      <w:hyperlink r:id="rId12">
        <w:r w:rsidRPr="008B4899">
          <w:rPr>
            <w:rFonts w:ascii="Times New Roman" w:hAnsi="Times New Roman"/>
            <w:color w:val="000008"/>
            <w:szCs w:val="22"/>
          </w:rPr>
          <w:t>Book, http://buildingsdatabook.eren.doe.</w:t>
        </w:r>
      </w:hyperlink>
      <w:r w:rsidRPr="008B4899">
        <w:rPr>
          <w:rFonts w:ascii="Times New Roman" w:hAnsi="Times New Roman"/>
          <w:color w:val="000008"/>
          <w:szCs w:val="22"/>
        </w:rPr>
        <w:t xml:space="preserve"> gov/docs/xls_pdf/3.1.4.pdf,Table 3.1.4, Accessed June 28, 2013.</w:t>
      </w:r>
    </w:p>
    <w:p w:rsidR="00A102D2" w:rsidRPr="00910E9A" w:rsidRDefault="00A102D2" w:rsidP="008B4899">
      <w:pPr>
        <w:widowControl w:val="0"/>
        <w:autoSpaceDE w:val="0"/>
        <w:autoSpaceDN w:val="0"/>
        <w:ind w:right="189"/>
        <w:rPr>
          <w:rFonts w:ascii="Times New Roman" w:hAnsi="Times New Roman"/>
          <w:color w:val="000008"/>
          <w:szCs w:val="22"/>
        </w:rPr>
      </w:pPr>
      <w:r w:rsidRPr="00910E9A">
        <w:rPr>
          <w:rFonts w:ascii="Times New Roman" w:hAnsi="Times New Roman"/>
          <w:color w:val="000008"/>
          <w:szCs w:val="22"/>
        </w:rPr>
        <w:t>[3]</w:t>
      </w:r>
      <w:r w:rsidR="008B4899" w:rsidRPr="008B4899">
        <w:rPr>
          <w:rFonts w:ascii="Times New Roman" w:hAnsi="Times New Roman"/>
          <w:color w:val="000008"/>
          <w:szCs w:val="22"/>
        </w:rPr>
        <w:t xml:space="preserve">US Department of Energy website, U.S. DOE Buildings Energy Data </w:t>
      </w:r>
      <w:hyperlink r:id="rId13">
        <w:r w:rsidR="008B4899" w:rsidRPr="008B4899">
          <w:rPr>
            <w:rFonts w:ascii="Times New Roman" w:hAnsi="Times New Roman"/>
            <w:color w:val="000008"/>
            <w:szCs w:val="22"/>
          </w:rPr>
          <w:t>Book ,http://buildingsdatabook.eren.doe.</w:t>
        </w:r>
      </w:hyperlink>
      <w:r w:rsidR="008B4899" w:rsidRPr="008B4899">
        <w:rPr>
          <w:rFonts w:ascii="Times New Roman" w:hAnsi="Times New Roman"/>
          <w:color w:val="000008"/>
          <w:szCs w:val="22"/>
        </w:rPr>
        <w:t xml:space="preserve"> gov/docs/xls_pdf/3.6.1.pdf, Table 3.6.1., Accessed June 28, 2013</w:t>
      </w:r>
      <w:r w:rsidRPr="00910E9A">
        <w:rPr>
          <w:rFonts w:ascii="Times New Roman" w:hAnsi="Times New Roman"/>
          <w:color w:val="000008"/>
          <w:szCs w:val="22"/>
        </w:rPr>
        <w:t>.</w:t>
      </w:r>
    </w:p>
    <w:p w:rsidR="00A102D2" w:rsidRPr="00910E9A" w:rsidRDefault="008B4899" w:rsidP="008B4899">
      <w:pPr>
        <w:widowControl w:val="0"/>
        <w:tabs>
          <w:tab w:val="left" w:pos="900"/>
        </w:tabs>
        <w:autoSpaceDE w:val="0"/>
        <w:autoSpaceDN w:val="0"/>
        <w:ind w:right="189"/>
        <w:rPr>
          <w:rFonts w:ascii="Times New Roman" w:hAnsi="Times New Roman"/>
          <w:color w:val="000008"/>
          <w:szCs w:val="22"/>
        </w:rPr>
      </w:pPr>
      <w:r>
        <w:rPr>
          <w:rFonts w:ascii="Times New Roman" w:hAnsi="Times New Roman"/>
          <w:color w:val="000008"/>
          <w:szCs w:val="22"/>
        </w:rPr>
        <w:t xml:space="preserve">[4] </w:t>
      </w:r>
      <w:r w:rsidRPr="008B4899">
        <w:rPr>
          <w:rFonts w:ascii="Times New Roman" w:hAnsi="Times New Roman"/>
          <w:color w:val="000008"/>
          <w:szCs w:val="22"/>
        </w:rPr>
        <w:t xml:space="preserve">Boyd, GA, Development of a Performance-based In- dustrial Energy Efficiency Indicator for Pharmaceutical Manufacturing </w:t>
      </w:r>
      <w:hyperlink r:id="rId14">
        <w:r w:rsidRPr="008B4899">
          <w:rPr>
            <w:rFonts w:ascii="Times New Roman" w:hAnsi="Times New Roman"/>
            <w:color w:val="000008"/>
            <w:szCs w:val="22"/>
          </w:rPr>
          <w:t>Plants, http://www.energystar.gov/ia/</w:t>
        </w:r>
      </w:hyperlink>
      <w:r w:rsidRPr="008B4899">
        <w:rPr>
          <w:rFonts w:ascii="Times New Roman" w:hAnsi="Times New Roman"/>
          <w:color w:val="000008"/>
          <w:szCs w:val="22"/>
        </w:rPr>
        <w:t xml:space="preserve"> business/industry/in_focus/Pharmacuetical_EPI_docu- mentation.pdf?01de-0ecc, Table 5, Accessed June 28, 2013.</w:t>
      </w:r>
    </w:p>
    <w:p w:rsidR="00A102D2" w:rsidRPr="00910E9A" w:rsidRDefault="00A102D2" w:rsidP="008B4899">
      <w:pPr>
        <w:widowControl w:val="0"/>
        <w:autoSpaceDE w:val="0"/>
        <w:autoSpaceDN w:val="0"/>
        <w:ind w:right="189"/>
        <w:rPr>
          <w:rFonts w:ascii="Times New Roman" w:hAnsi="Times New Roman"/>
          <w:color w:val="000008"/>
          <w:szCs w:val="22"/>
        </w:rPr>
      </w:pPr>
      <w:r w:rsidRPr="00910E9A">
        <w:rPr>
          <w:rFonts w:ascii="Times New Roman" w:hAnsi="Times New Roman"/>
          <w:color w:val="000008"/>
          <w:szCs w:val="22"/>
        </w:rPr>
        <w:t xml:space="preserve">[5] </w:t>
      </w:r>
      <w:r w:rsidR="008B4899" w:rsidRPr="008B4899">
        <w:rPr>
          <w:rFonts w:ascii="Times New Roman" w:hAnsi="Times New Roman"/>
          <w:color w:val="000008"/>
          <w:szCs w:val="22"/>
        </w:rPr>
        <w:t>Thomas, P., “Will Pharma Wear the Energy Star,” Pharma Manufacturing, 2006. http://www.pharmaman- ufacturing.com/articles/2006/046.html, Accessed June 28, 2013.</w:t>
      </w:r>
    </w:p>
    <w:p w:rsidR="00A102D2" w:rsidRDefault="00A102D2" w:rsidP="008B4899">
      <w:pPr>
        <w:widowControl w:val="0"/>
        <w:autoSpaceDE w:val="0"/>
        <w:autoSpaceDN w:val="0"/>
        <w:ind w:right="189"/>
        <w:rPr>
          <w:rFonts w:ascii="Times New Roman" w:hAnsi="Times New Roman"/>
          <w:color w:val="000008"/>
          <w:szCs w:val="22"/>
        </w:rPr>
      </w:pPr>
      <w:r w:rsidRPr="00910E9A">
        <w:rPr>
          <w:rFonts w:ascii="Times New Roman" w:hAnsi="Times New Roman"/>
          <w:color w:val="000008"/>
          <w:szCs w:val="22"/>
        </w:rPr>
        <w:t>[6]</w:t>
      </w:r>
      <w:r w:rsidR="008B4899" w:rsidRPr="008B4899">
        <w:rPr>
          <w:rFonts w:ascii="Times New Roman" w:hAnsi="Times New Roman"/>
          <w:color w:val="000008"/>
          <w:szCs w:val="22"/>
        </w:rPr>
        <w:t xml:space="preserve">Boyd, GA, Development of a Performance-based In- dustrial Energy Efficiency Indicator for Pharmaceutical Manufacturing Plants, Energy Star website. </w:t>
      </w:r>
      <w:hyperlink r:id="rId15">
        <w:r w:rsidR="008B4899" w:rsidRPr="008B4899">
          <w:rPr>
            <w:rFonts w:ascii="Times New Roman" w:hAnsi="Times New Roman"/>
            <w:color w:val="000008"/>
            <w:szCs w:val="22"/>
          </w:rPr>
          <w:t>http://www.</w:t>
        </w:r>
      </w:hyperlink>
      <w:r w:rsidR="008B4899" w:rsidRPr="008B4899">
        <w:rPr>
          <w:rFonts w:ascii="Times New Roman" w:hAnsi="Times New Roman"/>
          <w:color w:val="000008"/>
          <w:szCs w:val="22"/>
        </w:rPr>
        <w:t>energystar.gov/ia/business/industry/in_focus/Phar- macuetical_EPI_documentation.pdf?01de-0ecc, Table 1., Accessed June 28, 2013</w:t>
      </w:r>
      <w:r w:rsidRPr="000E30A0">
        <w:rPr>
          <w:rFonts w:ascii="Times New Roman" w:hAnsi="Times New Roman"/>
          <w:color w:val="000008"/>
          <w:szCs w:val="22"/>
        </w:rPr>
        <w:t>.</w:t>
      </w:r>
    </w:p>
    <w:p w:rsidR="000E30A0" w:rsidRPr="000E30A0" w:rsidRDefault="00A102D2" w:rsidP="0070544C">
      <w:pPr>
        <w:widowControl w:val="0"/>
        <w:tabs>
          <w:tab w:val="left" w:pos="900"/>
        </w:tabs>
        <w:autoSpaceDE w:val="0"/>
        <w:autoSpaceDN w:val="0"/>
        <w:ind w:right="189"/>
        <w:rPr>
          <w:rFonts w:ascii="Times New Roman" w:hAnsi="Times New Roman"/>
          <w:color w:val="000008"/>
          <w:szCs w:val="22"/>
        </w:rPr>
      </w:pPr>
      <w:r w:rsidRPr="008B4899">
        <w:rPr>
          <w:rFonts w:ascii="Times New Roman" w:hAnsi="Times New Roman"/>
          <w:color w:val="000008"/>
          <w:szCs w:val="22"/>
        </w:rPr>
        <w:t>[7</w:t>
      </w:r>
      <w:r w:rsidR="00431178" w:rsidRPr="008B4899">
        <w:rPr>
          <w:rFonts w:ascii="Times New Roman" w:hAnsi="Times New Roman"/>
          <w:color w:val="000008"/>
          <w:szCs w:val="22"/>
        </w:rPr>
        <w:t>]</w:t>
      </w:r>
      <w:r w:rsidR="008B4899" w:rsidRPr="008B4899">
        <w:rPr>
          <w:rFonts w:ascii="Times New Roman" w:hAnsi="Times New Roman"/>
          <w:color w:val="000008"/>
          <w:szCs w:val="22"/>
        </w:rPr>
        <w:t xml:space="preserve"> Boyd, GA., Development of a Performance-based In- dustrial Energy Efficiency Indicator for Pharmaceutical Manufacturing Plants, Energy Star website. </w:t>
      </w:r>
      <w:hyperlink r:id="rId16">
        <w:r w:rsidR="008B4899" w:rsidRPr="008B4899">
          <w:rPr>
            <w:rFonts w:ascii="Times New Roman" w:hAnsi="Times New Roman"/>
            <w:color w:val="000008"/>
            <w:szCs w:val="22"/>
          </w:rPr>
          <w:t>http://www.</w:t>
        </w:r>
      </w:hyperlink>
      <w:r w:rsidR="008B4899" w:rsidRPr="008B4899">
        <w:rPr>
          <w:rFonts w:ascii="Times New Roman" w:hAnsi="Times New Roman"/>
          <w:color w:val="000008"/>
          <w:szCs w:val="22"/>
        </w:rPr>
        <w:t xml:space="preserve"> energystar.gov/ia/business/industry/in_focus/Phar- macuetical_EPI_documentation.pdf?01</w:t>
      </w:r>
      <w:r w:rsidR="0070544C">
        <w:rPr>
          <w:rFonts w:ascii="Times New Roman" w:hAnsi="Times New Roman"/>
          <w:color w:val="000008"/>
          <w:szCs w:val="22"/>
        </w:rPr>
        <w:t xml:space="preserve">de-0ecc, Section </w:t>
      </w:r>
      <w:r w:rsidR="008B4899" w:rsidRPr="008B4899">
        <w:rPr>
          <w:rFonts w:ascii="Times New Roman" w:hAnsi="Times New Roman"/>
          <w:color w:val="000008"/>
          <w:szCs w:val="22"/>
        </w:rPr>
        <w:t>2.1 and 2.2, Accessed June 28, 2013</w:t>
      </w:r>
      <w:r w:rsidR="000E30A0">
        <w:rPr>
          <w:rFonts w:ascii="Times New Roman" w:hAnsi="Times New Roman"/>
          <w:color w:val="000008"/>
          <w:szCs w:val="22"/>
        </w:rPr>
        <w:t>.</w:t>
      </w:r>
    </w:p>
    <w:p w:rsidR="00431178" w:rsidRPr="000E30A0" w:rsidRDefault="00A102D2" w:rsidP="008B4899">
      <w:pPr>
        <w:widowControl w:val="0"/>
        <w:tabs>
          <w:tab w:val="left" w:pos="900"/>
          <w:tab w:val="left" w:pos="900"/>
        </w:tabs>
        <w:autoSpaceDE w:val="0"/>
        <w:autoSpaceDN w:val="0"/>
        <w:ind w:right="189"/>
        <w:rPr>
          <w:rFonts w:ascii="Times New Roman" w:hAnsi="Times New Roman"/>
          <w:color w:val="000008"/>
          <w:szCs w:val="22"/>
        </w:rPr>
      </w:pPr>
      <w:r w:rsidRPr="008B4899">
        <w:rPr>
          <w:rFonts w:ascii="Times New Roman" w:hAnsi="Times New Roman"/>
          <w:color w:val="000008"/>
          <w:szCs w:val="22"/>
        </w:rPr>
        <w:t>[8</w:t>
      </w:r>
      <w:r w:rsidR="00431178" w:rsidRPr="008B4899">
        <w:rPr>
          <w:rFonts w:ascii="Times New Roman" w:hAnsi="Times New Roman"/>
          <w:color w:val="000008"/>
          <w:szCs w:val="22"/>
        </w:rPr>
        <w:t>]</w:t>
      </w:r>
      <w:r w:rsidR="008B4899" w:rsidRPr="008B4899">
        <w:rPr>
          <w:rFonts w:ascii="Times New Roman" w:hAnsi="Times New Roman"/>
          <w:color w:val="000008"/>
          <w:szCs w:val="22"/>
        </w:rPr>
        <w:t>Kline SG, (June 5, 2013) “cGMP Aseptic Facility Des</w:t>
      </w:r>
      <w:r w:rsidR="0070544C">
        <w:rPr>
          <w:rFonts w:ascii="Times New Roman" w:hAnsi="Times New Roman"/>
          <w:color w:val="000008"/>
          <w:szCs w:val="22"/>
        </w:rPr>
        <w:t xml:space="preserve">ign Based on Barrier Technology </w:t>
      </w:r>
      <w:r w:rsidR="008B4899" w:rsidRPr="008B4899">
        <w:rPr>
          <w:rFonts w:ascii="Times New Roman" w:hAnsi="Times New Roman"/>
          <w:color w:val="000008"/>
          <w:szCs w:val="22"/>
        </w:rPr>
        <w:t>Presentation.”</w:t>
      </w:r>
    </w:p>
    <w:p w:rsidR="00431178" w:rsidRPr="00707540" w:rsidRDefault="00A102D2" w:rsidP="008B4899">
      <w:pPr>
        <w:widowControl w:val="0"/>
        <w:autoSpaceDE w:val="0"/>
        <w:autoSpaceDN w:val="0"/>
        <w:ind w:right="189"/>
        <w:rPr>
          <w:rFonts w:ascii="Times New Roman" w:hAnsi="Times New Roman"/>
          <w:color w:val="000008"/>
          <w:szCs w:val="22"/>
        </w:rPr>
      </w:pPr>
      <w:r>
        <w:rPr>
          <w:rFonts w:ascii="Times New Roman" w:hAnsi="Times New Roman"/>
          <w:color w:val="000008"/>
          <w:szCs w:val="22"/>
        </w:rPr>
        <w:t>[9</w:t>
      </w:r>
      <w:r w:rsidR="00431178" w:rsidRPr="007E0E09">
        <w:rPr>
          <w:rFonts w:ascii="Times New Roman" w:hAnsi="Times New Roman"/>
          <w:color w:val="000008"/>
          <w:szCs w:val="22"/>
        </w:rPr>
        <w:t>]</w:t>
      </w:r>
      <w:r w:rsidR="008B4899" w:rsidRPr="008B4899">
        <w:rPr>
          <w:rFonts w:ascii="Times New Roman" w:hAnsi="Times New Roman"/>
          <w:color w:val="000008"/>
          <w:szCs w:val="22"/>
        </w:rPr>
        <w:t xml:space="preserve">Sartor D., 5 Big Hits in Laboratories, US Department of Energy website, </w:t>
      </w:r>
      <w:hyperlink r:id="rId17">
        <w:r w:rsidR="008B4899" w:rsidRPr="008B4899">
          <w:rPr>
            <w:rFonts w:ascii="Times New Roman" w:hAnsi="Times New Roman"/>
            <w:color w:val="000008"/>
            <w:szCs w:val="22"/>
          </w:rPr>
          <w:t>http://fimsinfo.doe.gov/Work-</w:t>
        </w:r>
      </w:hyperlink>
      <w:r w:rsidR="008B4899" w:rsidRPr="008B4899">
        <w:rPr>
          <w:rFonts w:ascii="Times New Roman" w:hAnsi="Times New Roman"/>
          <w:color w:val="000008"/>
          <w:szCs w:val="22"/>
        </w:rPr>
        <w:t xml:space="preserve"> shop/2010/Sartor_Lab.pdf, Accessed June 28, 2013</w:t>
      </w:r>
      <w:r w:rsidR="00707540" w:rsidRPr="00707540">
        <w:rPr>
          <w:rFonts w:ascii="Times New Roman" w:hAnsi="Times New Roman"/>
          <w:color w:val="000008"/>
          <w:szCs w:val="22"/>
        </w:rPr>
        <w:t>.</w:t>
      </w:r>
    </w:p>
    <w:p w:rsidR="00707540" w:rsidRDefault="00707540" w:rsidP="00707540">
      <w:pPr>
        <w:widowControl w:val="0"/>
        <w:tabs>
          <w:tab w:val="left" w:pos="900"/>
        </w:tabs>
        <w:autoSpaceDE w:val="0"/>
        <w:autoSpaceDN w:val="0"/>
        <w:ind w:right="189"/>
        <w:jc w:val="both"/>
        <w:rPr>
          <w:rFonts w:ascii="Times New Roman" w:hAnsi="Times New Roman"/>
          <w:color w:val="000008"/>
          <w:szCs w:val="22"/>
        </w:rPr>
      </w:pPr>
    </w:p>
    <w:p w:rsidR="006404C3" w:rsidRDefault="006404C3" w:rsidP="00707540">
      <w:pPr>
        <w:widowControl w:val="0"/>
        <w:tabs>
          <w:tab w:val="left" w:pos="900"/>
        </w:tabs>
        <w:autoSpaceDE w:val="0"/>
        <w:autoSpaceDN w:val="0"/>
        <w:ind w:right="189"/>
        <w:jc w:val="both"/>
        <w:rPr>
          <w:rFonts w:ascii="Times New Roman" w:hAnsi="Times New Roman"/>
          <w:color w:val="000008"/>
          <w:szCs w:val="22"/>
        </w:rPr>
      </w:pPr>
    </w:p>
    <w:p w:rsidR="006404C3" w:rsidRDefault="006404C3" w:rsidP="00707540">
      <w:pPr>
        <w:widowControl w:val="0"/>
        <w:tabs>
          <w:tab w:val="left" w:pos="900"/>
        </w:tabs>
        <w:autoSpaceDE w:val="0"/>
        <w:autoSpaceDN w:val="0"/>
        <w:ind w:right="189"/>
        <w:jc w:val="both"/>
        <w:rPr>
          <w:rFonts w:ascii="Times New Roman" w:hAnsi="Times New Roman"/>
          <w:color w:val="000008"/>
          <w:szCs w:val="22"/>
        </w:rPr>
      </w:pPr>
    </w:p>
    <w:p w:rsidR="006404C3" w:rsidRDefault="006404C3" w:rsidP="00707540">
      <w:pPr>
        <w:widowControl w:val="0"/>
        <w:tabs>
          <w:tab w:val="left" w:pos="900"/>
        </w:tabs>
        <w:autoSpaceDE w:val="0"/>
        <w:autoSpaceDN w:val="0"/>
        <w:ind w:right="189"/>
        <w:jc w:val="both"/>
        <w:rPr>
          <w:rFonts w:ascii="Times New Roman" w:hAnsi="Times New Roman"/>
          <w:color w:val="000008"/>
          <w:szCs w:val="22"/>
        </w:rPr>
      </w:pPr>
    </w:p>
    <w:p w:rsidR="006404C3" w:rsidRDefault="006404C3" w:rsidP="00707540">
      <w:pPr>
        <w:widowControl w:val="0"/>
        <w:tabs>
          <w:tab w:val="left" w:pos="900"/>
        </w:tabs>
        <w:autoSpaceDE w:val="0"/>
        <w:autoSpaceDN w:val="0"/>
        <w:ind w:right="189"/>
        <w:jc w:val="both"/>
        <w:rPr>
          <w:rFonts w:ascii="Times New Roman" w:hAnsi="Times New Roman"/>
          <w:color w:val="000008"/>
          <w:szCs w:val="22"/>
        </w:rPr>
      </w:pPr>
    </w:p>
    <w:p w:rsidR="008B4899" w:rsidRDefault="008B4899" w:rsidP="008B4899">
      <w:pPr>
        <w:pStyle w:val="ListParagraph"/>
        <w:tabs>
          <w:tab w:val="left" w:pos="787"/>
        </w:tabs>
        <w:spacing w:before="24" w:line="280" w:lineRule="auto"/>
        <w:ind w:left="786" w:right="355" w:firstLine="0"/>
        <w:jc w:val="right"/>
        <w:rPr>
          <w:color w:val="231F20"/>
          <w:sz w:val="18"/>
        </w:rPr>
      </w:pPr>
      <w:bookmarkStart w:id="0" w:name="_GoBack"/>
      <w:bookmarkEnd w:id="0"/>
    </w:p>
    <w:sectPr w:rsidR="008B4899" w:rsidSect="009A169E">
      <w:headerReference w:type="default" r:id="rId18"/>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1EB" w:rsidRDefault="003E41EB">
      <w:r>
        <w:separator/>
      </w:r>
    </w:p>
  </w:endnote>
  <w:endnote w:type="continuationSeparator" w:id="1">
    <w:p w:rsidR="003E41EB" w:rsidRDefault="003E41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1EB" w:rsidRPr="00043761" w:rsidRDefault="003E41EB">
      <w:pPr>
        <w:pStyle w:val="Bulleted"/>
        <w:numPr>
          <w:ilvl w:val="0"/>
          <w:numId w:val="0"/>
        </w:numPr>
        <w:rPr>
          <w:rFonts w:ascii="Sabon" w:hAnsi="Sabon"/>
          <w:color w:val="auto"/>
          <w:szCs w:val="20"/>
        </w:rPr>
      </w:pPr>
      <w:r>
        <w:separator/>
      </w:r>
    </w:p>
  </w:footnote>
  <w:footnote w:type="continuationSeparator" w:id="1">
    <w:p w:rsidR="003E41EB" w:rsidRDefault="003E4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99" w:rsidRDefault="008B4899">
    <w:pPr>
      <w:pStyle w:val="Header"/>
    </w:pPr>
  </w:p>
  <w:p w:rsidR="008B4899" w:rsidRDefault="008B4899">
    <w:pPr>
      <w:pStyle w:val="Header"/>
    </w:pPr>
  </w:p>
  <w:p w:rsidR="008B4899" w:rsidRDefault="008B4899">
    <w:pPr>
      <w:pStyle w:val="Header"/>
    </w:pPr>
  </w:p>
  <w:p w:rsidR="008B4899" w:rsidRDefault="008B4899">
    <w:pPr>
      <w:pStyle w:val="Header"/>
    </w:pPr>
  </w:p>
  <w:p w:rsidR="008B4899" w:rsidRDefault="008B4899">
    <w:pPr>
      <w:pStyle w:val="Header"/>
    </w:pPr>
  </w:p>
  <w:p w:rsidR="008B4899" w:rsidRDefault="008B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04599F"/>
    <w:multiLevelType w:val="multilevel"/>
    <w:tmpl w:val="E514CC2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8"/>
      </w:rPr>
    </w:lvl>
    <w:lvl w:ilvl="2">
      <w:start w:val="1"/>
      <w:numFmt w:val="decimal"/>
      <w:isLgl/>
      <w:lvlText w:val="%1.%2.%3"/>
      <w:lvlJc w:val="left"/>
      <w:pPr>
        <w:ind w:left="1080" w:hanging="720"/>
      </w:pPr>
      <w:rPr>
        <w:rFonts w:hint="default"/>
        <w:color w:val="000008"/>
      </w:rPr>
    </w:lvl>
    <w:lvl w:ilvl="3">
      <w:start w:val="1"/>
      <w:numFmt w:val="decimal"/>
      <w:isLgl/>
      <w:lvlText w:val="%1.%2.%3.%4"/>
      <w:lvlJc w:val="left"/>
      <w:pPr>
        <w:ind w:left="1080" w:hanging="720"/>
      </w:pPr>
      <w:rPr>
        <w:rFonts w:hint="default"/>
        <w:color w:val="000008"/>
      </w:rPr>
    </w:lvl>
    <w:lvl w:ilvl="4">
      <w:start w:val="1"/>
      <w:numFmt w:val="decimal"/>
      <w:isLgl/>
      <w:lvlText w:val="%1.%2.%3.%4.%5"/>
      <w:lvlJc w:val="left"/>
      <w:pPr>
        <w:ind w:left="1440" w:hanging="1080"/>
      </w:pPr>
      <w:rPr>
        <w:rFonts w:hint="default"/>
        <w:color w:val="000008"/>
      </w:rPr>
    </w:lvl>
    <w:lvl w:ilvl="5">
      <w:start w:val="1"/>
      <w:numFmt w:val="decimal"/>
      <w:isLgl/>
      <w:lvlText w:val="%1.%2.%3.%4.%5.%6"/>
      <w:lvlJc w:val="left"/>
      <w:pPr>
        <w:ind w:left="1440" w:hanging="1080"/>
      </w:pPr>
      <w:rPr>
        <w:rFonts w:hint="default"/>
        <w:color w:val="000008"/>
      </w:rPr>
    </w:lvl>
    <w:lvl w:ilvl="6">
      <w:start w:val="1"/>
      <w:numFmt w:val="decimal"/>
      <w:isLgl/>
      <w:lvlText w:val="%1.%2.%3.%4.%5.%6.%7"/>
      <w:lvlJc w:val="left"/>
      <w:pPr>
        <w:ind w:left="1800" w:hanging="1440"/>
      </w:pPr>
      <w:rPr>
        <w:rFonts w:hint="default"/>
        <w:color w:val="000008"/>
      </w:rPr>
    </w:lvl>
    <w:lvl w:ilvl="7">
      <w:start w:val="1"/>
      <w:numFmt w:val="decimal"/>
      <w:isLgl/>
      <w:lvlText w:val="%1.%2.%3.%4.%5.%6.%7.%8"/>
      <w:lvlJc w:val="left"/>
      <w:pPr>
        <w:ind w:left="1800" w:hanging="1440"/>
      </w:pPr>
      <w:rPr>
        <w:rFonts w:hint="default"/>
        <w:color w:val="000008"/>
      </w:rPr>
    </w:lvl>
    <w:lvl w:ilvl="8">
      <w:start w:val="1"/>
      <w:numFmt w:val="decimal"/>
      <w:isLgl/>
      <w:lvlText w:val="%1.%2.%3.%4.%5.%6.%7.%8.%9"/>
      <w:lvlJc w:val="left"/>
      <w:pPr>
        <w:ind w:left="2160" w:hanging="1800"/>
      </w:pPr>
      <w:rPr>
        <w:rFonts w:hint="default"/>
        <w:color w:val="000008"/>
      </w:rPr>
    </w:lvl>
  </w:abstractNum>
  <w:abstractNum w:abstractNumId="14">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nsid w:val="218B05C6"/>
    <w:multiLevelType w:val="multilevel"/>
    <w:tmpl w:val="BDE467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FF21528"/>
    <w:multiLevelType w:val="hybridMultilevel"/>
    <w:tmpl w:val="A95E29D2"/>
    <w:lvl w:ilvl="0" w:tplc="BD92F9EC">
      <w:start w:val="1"/>
      <w:numFmt w:val="decimal"/>
      <w:lvlText w:val="%1."/>
      <w:lvlJc w:val="left"/>
      <w:pPr>
        <w:ind w:left="786" w:hanging="301"/>
        <w:jc w:val="right"/>
      </w:pPr>
      <w:rPr>
        <w:rFonts w:hint="default"/>
        <w:w w:val="100"/>
        <w:lang w:val="en-US" w:eastAsia="en-US" w:bidi="ar-SA"/>
      </w:rPr>
    </w:lvl>
    <w:lvl w:ilvl="1" w:tplc="6226E320">
      <w:numFmt w:val="bullet"/>
      <w:lvlText w:val="•"/>
      <w:lvlJc w:val="left"/>
      <w:pPr>
        <w:ind w:left="1245" w:hanging="301"/>
      </w:pPr>
      <w:rPr>
        <w:rFonts w:hint="default"/>
        <w:lang w:val="en-US" w:eastAsia="en-US" w:bidi="ar-SA"/>
      </w:rPr>
    </w:lvl>
    <w:lvl w:ilvl="2" w:tplc="CCEE574E">
      <w:numFmt w:val="bullet"/>
      <w:lvlText w:val="•"/>
      <w:lvlJc w:val="left"/>
      <w:pPr>
        <w:ind w:left="1711" w:hanging="301"/>
      </w:pPr>
      <w:rPr>
        <w:rFonts w:hint="default"/>
        <w:lang w:val="en-US" w:eastAsia="en-US" w:bidi="ar-SA"/>
      </w:rPr>
    </w:lvl>
    <w:lvl w:ilvl="3" w:tplc="DB1C769E">
      <w:numFmt w:val="bullet"/>
      <w:lvlText w:val="•"/>
      <w:lvlJc w:val="left"/>
      <w:pPr>
        <w:ind w:left="2176" w:hanging="301"/>
      </w:pPr>
      <w:rPr>
        <w:rFonts w:hint="default"/>
        <w:lang w:val="en-US" w:eastAsia="en-US" w:bidi="ar-SA"/>
      </w:rPr>
    </w:lvl>
    <w:lvl w:ilvl="4" w:tplc="06764016">
      <w:numFmt w:val="bullet"/>
      <w:lvlText w:val="•"/>
      <w:lvlJc w:val="left"/>
      <w:pPr>
        <w:ind w:left="2642" w:hanging="301"/>
      </w:pPr>
      <w:rPr>
        <w:rFonts w:hint="default"/>
        <w:lang w:val="en-US" w:eastAsia="en-US" w:bidi="ar-SA"/>
      </w:rPr>
    </w:lvl>
    <w:lvl w:ilvl="5" w:tplc="0DD4E6D6">
      <w:numFmt w:val="bullet"/>
      <w:lvlText w:val="•"/>
      <w:lvlJc w:val="left"/>
      <w:pPr>
        <w:ind w:left="3108" w:hanging="301"/>
      </w:pPr>
      <w:rPr>
        <w:rFonts w:hint="default"/>
        <w:lang w:val="en-US" w:eastAsia="en-US" w:bidi="ar-SA"/>
      </w:rPr>
    </w:lvl>
    <w:lvl w:ilvl="6" w:tplc="36BE9B7C">
      <w:numFmt w:val="bullet"/>
      <w:lvlText w:val="•"/>
      <w:lvlJc w:val="left"/>
      <w:pPr>
        <w:ind w:left="3573" w:hanging="301"/>
      </w:pPr>
      <w:rPr>
        <w:rFonts w:hint="default"/>
        <w:lang w:val="en-US" w:eastAsia="en-US" w:bidi="ar-SA"/>
      </w:rPr>
    </w:lvl>
    <w:lvl w:ilvl="7" w:tplc="503EE9D6">
      <w:numFmt w:val="bullet"/>
      <w:lvlText w:val="•"/>
      <w:lvlJc w:val="left"/>
      <w:pPr>
        <w:ind w:left="4039" w:hanging="301"/>
      </w:pPr>
      <w:rPr>
        <w:rFonts w:hint="default"/>
        <w:lang w:val="en-US" w:eastAsia="en-US" w:bidi="ar-SA"/>
      </w:rPr>
    </w:lvl>
    <w:lvl w:ilvl="8" w:tplc="34E832DC">
      <w:numFmt w:val="bullet"/>
      <w:lvlText w:val="•"/>
      <w:lvlJc w:val="left"/>
      <w:pPr>
        <w:ind w:left="4505" w:hanging="301"/>
      </w:pPr>
      <w:rPr>
        <w:rFonts w:hint="default"/>
        <w:lang w:val="en-US" w:eastAsia="en-US" w:bidi="ar-SA"/>
      </w:rPr>
    </w:lvl>
  </w:abstractNum>
  <w:abstractNum w:abstractNumId="18">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FF26A19"/>
    <w:multiLevelType w:val="hybridMultilevel"/>
    <w:tmpl w:val="41BEAB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460A24B3"/>
    <w:multiLevelType w:val="hybridMultilevel"/>
    <w:tmpl w:val="2682C294"/>
    <w:lvl w:ilvl="0" w:tplc="22CE8770">
      <w:numFmt w:val="bullet"/>
      <w:lvlText w:val="•"/>
      <w:lvlJc w:val="left"/>
      <w:pPr>
        <w:ind w:left="1060" w:hanging="240"/>
      </w:pPr>
      <w:rPr>
        <w:rFonts w:ascii="Georgia" w:eastAsia="Georgia" w:hAnsi="Georgia" w:cs="Georgia" w:hint="default"/>
        <w:color w:val="231F20"/>
        <w:spacing w:val="-5"/>
        <w:w w:val="99"/>
        <w:sz w:val="18"/>
        <w:szCs w:val="18"/>
        <w:lang w:val="en-US" w:eastAsia="en-US" w:bidi="ar-SA"/>
      </w:rPr>
    </w:lvl>
    <w:lvl w:ilvl="1" w:tplc="3A0A2258">
      <w:numFmt w:val="bullet"/>
      <w:lvlText w:val="•"/>
      <w:lvlJc w:val="left"/>
      <w:pPr>
        <w:ind w:left="1540" w:hanging="240"/>
      </w:pPr>
      <w:rPr>
        <w:rFonts w:ascii="Georgia" w:eastAsia="Georgia" w:hAnsi="Georgia" w:cs="Georgia" w:hint="default"/>
        <w:color w:val="231F20"/>
        <w:spacing w:val="-5"/>
        <w:w w:val="100"/>
        <w:sz w:val="18"/>
        <w:szCs w:val="18"/>
        <w:lang w:val="en-US" w:eastAsia="en-US" w:bidi="ar-SA"/>
      </w:rPr>
    </w:lvl>
    <w:lvl w:ilvl="2" w:tplc="D9308F52">
      <w:numFmt w:val="bullet"/>
      <w:lvlText w:val="•"/>
      <w:lvlJc w:val="left"/>
      <w:pPr>
        <w:ind w:left="1459" w:hanging="240"/>
      </w:pPr>
      <w:rPr>
        <w:rFonts w:hint="default"/>
        <w:lang w:val="en-US" w:eastAsia="en-US" w:bidi="ar-SA"/>
      </w:rPr>
    </w:lvl>
    <w:lvl w:ilvl="3" w:tplc="B9E64218">
      <w:numFmt w:val="bullet"/>
      <w:lvlText w:val="•"/>
      <w:lvlJc w:val="left"/>
      <w:pPr>
        <w:ind w:left="1379" w:hanging="240"/>
      </w:pPr>
      <w:rPr>
        <w:rFonts w:hint="default"/>
        <w:lang w:val="en-US" w:eastAsia="en-US" w:bidi="ar-SA"/>
      </w:rPr>
    </w:lvl>
    <w:lvl w:ilvl="4" w:tplc="0D70FF8C">
      <w:numFmt w:val="bullet"/>
      <w:lvlText w:val="•"/>
      <w:lvlJc w:val="left"/>
      <w:pPr>
        <w:ind w:left="1298" w:hanging="240"/>
      </w:pPr>
      <w:rPr>
        <w:rFonts w:hint="default"/>
        <w:lang w:val="en-US" w:eastAsia="en-US" w:bidi="ar-SA"/>
      </w:rPr>
    </w:lvl>
    <w:lvl w:ilvl="5" w:tplc="3A203426">
      <w:numFmt w:val="bullet"/>
      <w:lvlText w:val="•"/>
      <w:lvlJc w:val="left"/>
      <w:pPr>
        <w:ind w:left="1218" w:hanging="240"/>
      </w:pPr>
      <w:rPr>
        <w:rFonts w:hint="default"/>
        <w:lang w:val="en-US" w:eastAsia="en-US" w:bidi="ar-SA"/>
      </w:rPr>
    </w:lvl>
    <w:lvl w:ilvl="6" w:tplc="F58E086A">
      <w:numFmt w:val="bullet"/>
      <w:lvlText w:val="•"/>
      <w:lvlJc w:val="left"/>
      <w:pPr>
        <w:ind w:left="1138" w:hanging="240"/>
      </w:pPr>
      <w:rPr>
        <w:rFonts w:hint="default"/>
        <w:lang w:val="en-US" w:eastAsia="en-US" w:bidi="ar-SA"/>
      </w:rPr>
    </w:lvl>
    <w:lvl w:ilvl="7" w:tplc="427A9032">
      <w:numFmt w:val="bullet"/>
      <w:lvlText w:val="•"/>
      <w:lvlJc w:val="left"/>
      <w:pPr>
        <w:ind w:left="1057" w:hanging="240"/>
      </w:pPr>
      <w:rPr>
        <w:rFonts w:hint="default"/>
        <w:lang w:val="en-US" w:eastAsia="en-US" w:bidi="ar-SA"/>
      </w:rPr>
    </w:lvl>
    <w:lvl w:ilvl="8" w:tplc="74624428">
      <w:numFmt w:val="bullet"/>
      <w:lvlText w:val="•"/>
      <w:lvlJc w:val="left"/>
      <w:pPr>
        <w:ind w:left="977" w:hanging="240"/>
      </w:pPr>
      <w:rPr>
        <w:rFonts w:hint="default"/>
        <w:lang w:val="en-US" w:eastAsia="en-US" w:bidi="ar-SA"/>
      </w:rPr>
    </w:lvl>
  </w:abstractNum>
  <w:abstractNum w:abstractNumId="21">
    <w:nsid w:val="478B55B6"/>
    <w:multiLevelType w:val="hybridMultilevel"/>
    <w:tmpl w:val="B7D263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759427F"/>
    <w:multiLevelType w:val="hybridMultilevel"/>
    <w:tmpl w:val="8258E58C"/>
    <w:lvl w:ilvl="0" w:tplc="CFBC1B0A">
      <w:start w:val="1"/>
      <w:numFmt w:val="decimal"/>
      <w:lvlText w:val="[%1]"/>
      <w:lvlJc w:val="left"/>
      <w:pPr>
        <w:ind w:left="639" w:hanging="242"/>
        <w:jc w:val="right"/>
      </w:pPr>
      <w:rPr>
        <w:rFonts w:ascii="Times New Roman" w:eastAsia="Times New Roman" w:hAnsi="Times New Roman" w:cs="Times New Roman" w:hint="default"/>
        <w:color w:val="151616"/>
        <w:w w:val="99"/>
        <w:sz w:val="16"/>
        <w:szCs w:val="16"/>
        <w:lang w:val="en-US" w:eastAsia="en-US" w:bidi="ar-SA"/>
      </w:rPr>
    </w:lvl>
    <w:lvl w:ilvl="1" w:tplc="B6568D58">
      <w:numFmt w:val="bullet"/>
      <w:lvlText w:val="•"/>
      <w:lvlJc w:val="left"/>
      <w:pPr>
        <w:ind w:left="1189" w:hanging="242"/>
      </w:pPr>
      <w:rPr>
        <w:rFonts w:hint="default"/>
        <w:lang w:val="en-US" w:eastAsia="en-US" w:bidi="ar-SA"/>
      </w:rPr>
    </w:lvl>
    <w:lvl w:ilvl="2" w:tplc="0EFE8988">
      <w:numFmt w:val="bullet"/>
      <w:lvlText w:val="•"/>
      <w:lvlJc w:val="left"/>
      <w:pPr>
        <w:ind w:left="1739" w:hanging="242"/>
      </w:pPr>
      <w:rPr>
        <w:rFonts w:hint="default"/>
        <w:lang w:val="en-US" w:eastAsia="en-US" w:bidi="ar-SA"/>
      </w:rPr>
    </w:lvl>
    <w:lvl w:ilvl="3" w:tplc="9EB871B8">
      <w:numFmt w:val="bullet"/>
      <w:lvlText w:val="•"/>
      <w:lvlJc w:val="left"/>
      <w:pPr>
        <w:ind w:left="2289" w:hanging="242"/>
      </w:pPr>
      <w:rPr>
        <w:rFonts w:hint="default"/>
        <w:lang w:val="en-US" w:eastAsia="en-US" w:bidi="ar-SA"/>
      </w:rPr>
    </w:lvl>
    <w:lvl w:ilvl="4" w:tplc="1CF08DC0">
      <w:numFmt w:val="bullet"/>
      <w:lvlText w:val="•"/>
      <w:lvlJc w:val="left"/>
      <w:pPr>
        <w:ind w:left="2839" w:hanging="242"/>
      </w:pPr>
      <w:rPr>
        <w:rFonts w:hint="default"/>
        <w:lang w:val="en-US" w:eastAsia="en-US" w:bidi="ar-SA"/>
      </w:rPr>
    </w:lvl>
    <w:lvl w:ilvl="5" w:tplc="69A67DE2">
      <w:numFmt w:val="bullet"/>
      <w:lvlText w:val="•"/>
      <w:lvlJc w:val="left"/>
      <w:pPr>
        <w:ind w:left="3389" w:hanging="242"/>
      </w:pPr>
      <w:rPr>
        <w:rFonts w:hint="default"/>
        <w:lang w:val="en-US" w:eastAsia="en-US" w:bidi="ar-SA"/>
      </w:rPr>
    </w:lvl>
    <w:lvl w:ilvl="6" w:tplc="C74EB3FA">
      <w:numFmt w:val="bullet"/>
      <w:lvlText w:val="•"/>
      <w:lvlJc w:val="left"/>
      <w:pPr>
        <w:ind w:left="3939" w:hanging="242"/>
      </w:pPr>
      <w:rPr>
        <w:rFonts w:hint="default"/>
        <w:lang w:val="en-US" w:eastAsia="en-US" w:bidi="ar-SA"/>
      </w:rPr>
    </w:lvl>
    <w:lvl w:ilvl="7" w:tplc="25E63CD0">
      <w:numFmt w:val="bullet"/>
      <w:lvlText w:val="•"/>
      <w:lvlJc w:val="left"/>
      <w:pPr>
        <w:ind w:left="4489" w:hanging="242"/>
      </w:pPr>
      <w:rPr>
        <w:rFonts w:hint="default"/>
        <w:lang w:val="en-US" w:eastAsia="en-US" w:bidi="ar-SA"/>
      </w:rPr>
    </w:lvl>
    <w:lvl w:ilvl="8" w:tplc="7B6EC29A">
      <w:numFmt w:val="bullet"/>
      <w:lvlText w:val="•"/>
      <w:lvlJc w:val="left"/>
      <w:pPr>
        <w:ind w:left="5039" w:hanging="242"/>
      </w:pPr>
      <w:rPr>
        <w:rFonts w:hint="default"/>
        <w:lang w:val="en-US" w:eastAsia="en-US" w:bidi="ar-SA"/>
      </w:rPr>
    </w:lvl>
  </w:abstractNum>
  <w:abstractNum w:abstractNumId="23">
    <w:nsid w:val="5D6D76A7"/>
    <w:multiLevelType w:val="hybridMultilevel"/>
    <w:tmpl w:val="809A2720"/>
    <w:lvl w:ilvl="0" w:tplc="841480CA">
      <w:numFmt w:val="bullet"/>
      <w:lvlText w:val="•"/>
      <w:lvlJc w:val="left"/>
      <w:pPr>
        <w:ind w:left="683" w:hanging="240"/>
      </w:pPr>
      <w:rPr>
        <w:rFonts w:ascii="Georgia" w:eastAsia="Georgia" w:hAnsi="Georgia" w:cs="Georgia" w:hint="default"/>
        <w:color w:val="231F20"/>
        <w:spacing w:val="-5"/>
        <w:w w:val="99"/>
        <w:sz w:val="18"/>
        <w:szCs w:val="18"/>
        <w:lang w:val="en-US" w:eastAsia="en-US" w:bidi="ar-SA"/>
      </w:rPr>
    </w:lvl>
    <w:lvl w:ilvl="1" w:tplc="41E0A8E2">
      <w:numFmt w:val="bullet"/>
      <w:lvlText w:val="•"/>
      <w:lvlJc w:val="left"/>
      <w:pPr>
        <w:ind w:left="1151" w:hanging="240"/>
      </w:pPr>
      <w:rPr>
        <w:rFonts w:hint="default"/>
        <w:lang w:val="en-US" w:eastAsia="en-US" w:bidi="ar-SA"/>
      </w:rPr>
    </w:lvl>
    <w:lvl w:ilvl="2" w:tplc="7AA6C268">
      <w:numFmt w:val="bullet"/>
      <w:lvlText w:val="•"/>
      <w:lvlJc w:val="left"/>
      <w:pPr>
        <w:ind w:left="1622" w:hanging="240"/>
      </w:pPr>
      <w:rPr>
        <w:rFonts w:hint="default"/>
        <w:lang w:val="en-US" w:eastAsia="en-US" w:bidi="ar-SA"/>
      </w:rPr>
    </w:lvl>
    <w:lvl w:ilvl="3" w:tplc="9E8C0288">
      <w:numFmt w:val="bullet"/>
      <w:lvlText w:val="•"/>
      <w:lvlJc w:val="left"/>
      <w:pPr>
        <w:ind w:left="2093" w:hanging="240"/>
      </w:pPr>
      <w:rPr>
        <w:rFonts w:hint="default"/>
        <w:lang w:val="en-US" w:eastAsia="en-US" w:bidi="ar-SA"/>
      </w:rPr>
    </w:lvl>
    <w:lvl w:ilvl="4" w:tplc="8AD22452">
      <w:numFmt w:val="bullet"/>
      <w:lvlText w:val="•"/>
      <w:lvlJc w:val="left"/>
      <w:pPr>
        <w:ind w:left="2565" w:hanging="240"/>
      </w:pPr>
      <w:rPr>
        <w:rFonts w:hint="default"/>
        <w:lang w:val="en-US" w:eastAsia="en-US" w:bidi="ar-SA"/>
      </w:rPr>
    </w:lvl>
    <w:lvl w:ilvl="5" w:tplc="B644E5F8">
      <w:numFmt w:val="bullet"/>
      <w:lvlText w:val="•"/>
      <w:lvlJc w:val="left"/>
      <w:pPr>
        <w:ind w:left="3036" w:hanging="240"/>
      </w:pPr>
      <w:rPr>
        <w:rFonts w:hint="default"/>
        <w:lang w:val="en-US" w:eastAsia="en-US" w:bidi="ar-SA"/>
      </w:rPr>
    </w:lvl>
    <w:lvl w:ilvl="6" w:tplc="F4BEA344">
      <w:numFmt w:val="bullet"/>
      <w:lvlText w:val="•"/>
      <w:lvlJc w:val="left"/>
      <w:pPr>
        <w:ind w:left="3507" w:hanging="240"/>
      </w:pPr>
      <w:rPr>
        <w:rFonts w:hint="default"/>
        <w:lang w:val="en-US" w:eastAsia="en-US" w:bidi="ar-SA"/>
      </w:rPr>
    </w:lvl>
    <w:lvl w:ilvl="7" w:tplc="F82A2504">
      <w:numFmt w:val="bullet"/>
      <w:lvlText w:val="•"/>
      <w:lvlJc w:val="left"/>
      <w:pPr>
        <w:ind w:left="3979" w:hanging="240"/>
      </w:pPr>
      <w:rPr>
        <w:rFonts w:hint="default"/>
        <w:lang w:val="en-US" w:eastAsia="en-US" w:bidi="ar-SA"/>
      </w:rPr>
    </w:lvl>
    <w:lvl w:ilvl="8" w:tplc="6F4C5006">
      <w:numFmt w:val="bullet"/>
      <w:lvlText w:val="•"/>
      <w:lvlJc w:val="left"/>
      <w:pPr>
        <w:ind w:left="4450" w:hanging="240"/>
      </w:pPr>
      <w:rPr>
        <w:rFonts w:hint="default"/>
        <w:lang w:val="en-US" w:eastAsia="en-US" w:bidi="ar-SA"/>
      </w:rPr>
    </w:lvl>
  </w:abstractNum>
  <w:abstractNum w:abstractNumId="24">
    <w:nsid w:val="60847BF9"/>
    <w:multiLevelType w:val="hybridMultilevel"/>
    <w:tmpl w:val="9E62818A"/>
    <w:lvl w:ilvl="0" w:tplc="40090001">
      <w:start w:val="1"/>
      <w:numFmt w:val="bullet"/>
      <w:lvlText w:val=""/>
      <w:lvlJc w:val="left"/>
      <w:pPr>
        <w:ind w:left="1575" w:hanging="360"/>
      </w:pPr>
      <w:rPr>
        <w:rFonts w:ascii="Symbol" w:hAnsi="Symbol" w:hint="default"/>
      </w:rPr>
    </w:lvl>
    <w:lvl w:ilvl="1" w:tplc="40090003" w:tentative="1">
      <w:start w:val="1"/>
      <w:numFmt w:val="bullet"/>
      <w:lvlText w:val="o"/>
      <w:lvlJc w:val="left"/>
      <w:pPr>
        <w:ind w:left="2295" w:hanging="360"/>
      </w:pPr>
      <w:rPr>
        <w:rFonts w:ascii="Courier New" w:hAnsi="Courier New" w:cs="Courier New" w:hint="default"/>
      </w:rPr>
    </w:lvl>
    <w:lvl w:ilvl="2" w:tplc="40090005" w:tentative="1">
      <w:start w:val="1"/>
      <w:numFmt w:val="bullet"/>
      <w:lvlText w:val=""/>
      <w:lvlJc w:val="left"/>
      <w:pPr>
        <w:ind w:left="3015" w:hanging="360"/>
      </w:pPr>
      <w:rPr>
        <w:rFonts w:ascii="Wingdings" w:hAnsi="Wingdings" w:hint="default"/>
      </w:rPr>
    </w:lvl>
    <w:lvl w:ilvl="3" w:tplc="40090001" w:tentative="1">
      <w:start w:val="1"/>
      <w:numFmt w:val="bullet"/>
      <w:lvlText w:val=""/>
      <w:lvlJc w:val="left"/>
      <w:pPr>
        <w:ind w:left="3735" w:hanging="360"/>
      </w:pPr>
      <w:rPr>
        <w:rFonts w:ascii="Symbol" w:hAnsi="Symbol" w:hint="default"/>
      </w:rPr>
    </w:lvl>
    <w:lvl w:ilvl="4" w:tplc="40090003" w:tentative="1">
      <w:start w:val="1"/>
      <w:numFmt w:val="bullet"/>
      <w:lvlText w:val="o"/>
      <w:lvlJc w:val="left"/>
      <w:pPr>
        <w:ind w:left="4455" w:hanging="360"/>
      </w:pPr>
      <w:rPr>
        <w:rFonts w:ascii="Courier New" w:hAnsi="Courier New" w:cs="Courier New" w:hint="default"/>
      </w:rPr>
    </w:lvl>
    <w:lvl w:ilvl="5" w:tplc="40090005" w:tentative="1">
      <w:start w:val="1"/>
      <w:numFmt w:val="bullet"/>
      <w:lvlText w:val=""/>
      <w:lvlJc w:val="left"/>
      <w:pPr>
        <w:ind w:left="5175" w:hanging="360"/>
      </w:pPr>
      <w:rPr>
        <w:rFonts w:ascii="Wingdings" w:hAnsi="Wingdings" w:hint="default"/>
      </w:rPr>
    </w:lvl>
    <w:lvl w:ilvl="6" w:tplc="40090001" w:tentative="1">
      <w:start w:val="1"/>
      <w:numFmt w:val="bullet"/>
      <w:lvlText w:val=""/>
      <w:lvlJc w:val="left"/>
      <w:pPr>
        <w:ind w:left="5895" w:hanging="360"/>
      </w:pPr>
      <w:rPr>
        <w:rFonts w:ascii="Symbol" w:hAnsi="Symbol" w:hint="default"/>
      </w:rPr>
    </w:lvl>
    <w:lvl w:ilvl="7" w:tplc="40090003" w:tentative="1">
      <w:start w:val="1"/>
      <w:numFmt w:val="bullet"/>
      <w:lvlText w:val="o"/>
      <w:lvlJc w:val="left"/>
      <w:pPr>
        <w:ind w:left="6615" w:hanging="360"/>
      </w:pPr>
      <w:rPr>
        <w:rFonts w:ascii="Courier New" w:hAnsi="Courier New" w:cs="Courier New" w:hint="default"/>
      </w:rPr>
    </w:lvl>
    <w:lvl w:ilvl="8" w:tplc="40090005" w:tentative="1">
      <w:start w:val="1"/>
      <w:numFmt w:val="bullet"/>
      <w:lvlText w:val=""/>
      <w:lvlJc w:val="left"/>
      <w:pPr>
        <w:ind w:left="7335" w:hanging="360"/>
      </w:pPr>
      <w:rPr>
        <w:rFonts w:ascii="Wingdings" w:hAnsi="Wingdings" w:hint="default"/>
      </w:rPr>
    </w:lvl>
  </w:abstractNum>
  <w:abstractNum w:abstractNumId="25">
    <w:nsid w:val="63FF09B4"/>
    <w:multiLevelType w:val="multilevel"/>
    <w:tmpl w:val="89308966"/>
    <w:lvl w:ilvl="0">
      <w:start w:val="1"/>
      <w:numFmt w:val="decimal"/>
      <w:pStyle w:val="section"/>
      <w:suff w:val="space"/>
      <w:lvlText w:val="%1."/>
      <w:lvlJc w:val="left"/>
      <w:pPr>
        <w:ind w:left="0" w:firstLine="0"/>
      </w:pPr>
      <w:rPr>
        <w:rFonts w:hint="default"/>
        <w:b/>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B3767D8"/>
    <w:multiLevelType w:val="hybridMultilevel"/>
    <w:tmpl w:val="1B0E5E48"/>
    <w:lvl w:ilvl="0" w:tplc="46A49342">
      <w:start w:val="1"/>
      <w:numFmt w:val="decimal"/>
      <w:lvlText w:val="[%1]"/>
      <w:lvlJc w:val="left"/>
      <w:pPr>
        <w:ind w:left="639" w:hanging="242"/>
        <w:jc w:val="right"/>
      </w:pPr>
      <w:rPr>
        <w:rFonts w:ascii="Times New Roman" w:eastAsia="Times New Roman" w:hAnsi="Times New Roman" w:cs="Times New Roman" w:hint="default"/>
        <w:color w:val="151616"/>
        <w:w w:val="99"/>
        <w:sz w:val="16"/>
        <w:szCs w:val="16"/>
        <w:lang w:val="en-US" w:eastAsia="en-US" w:bidi="ar-SA"/>
      </w:rPr>
    </w:lvl>
    <w:lvl w:ilvl="1" w:tplc="BE9CFBA0">
      <w:numFmt w:val="bullet"/>
      <w:lvlText w:val="•"/>
      <w:lvlJc w:val="left"/>
      <w:pPr>
        <w:ind w:left="1189" w:hanging="242"/>
      </w:pPr>
      <w:rPr>
        <w:rFonts w:hint="default"/>
        <w:lang w:val="en-US" w:eastAsia="en-US" w:bidi="ar-SA"/>
      </w:rPr>
    </w:lvl>
    <w:lvl w:ilvl="2" w:tplc="E88A7FD6">
      <w:numFmt w:val="bullet"/>
      <w:lvlText w:val="•"/>
      <w:lvlJc w:val="left"/>
      <w:pPr>
        <w:ind w:left="1739" w:hanging="242"/>
      </w:pPr>
      <w:rPr>
        <w:rFonts w:hint="default"/>
        <w:lang w:val="en-US" w:eastAsia="en-US" w:bidi="ar-SA"/>
      </w:rPr>
    </w:lvl>
    <w:lvl w:ilvl="3" w:tplc="9BD83AA2">
      <w:numFmt w:val="bullet"/>
      <w:lvlText w:val="•"/>
      <w:lvlJc w:val="left"/>
      <w:pPr>
        <w:ind w:left="2289" w:hanging="242"/>
      </w:pPr>
      <w:rPr>
        <w:rFonts w:hint="default"/>
        <w:lang w:val="en-US" w:eastAsia="en-US" w:bidi="ar-SA"/>
      </w:rPr>
    </w:lvl>
    <w:lvl w:ilvl="4" w:tplc="EBE68BA0">
      <w:numFmt w:val="bullet"/>
      <w:lvlText w:val="•"/>
      <w:lvlJc w:val="left"/>
      <w:pPr>
        <w:ind w:left="2839" w:hanging="242"/>
      </w:pPr>
      <w:rPr>
        <w:rFonts w:hint="default"/>
        <w:lang w:val="en-US" w:eastAsia="en-US" w:bidi="ar-SA"/>
      </w:rPr>
    </w:lvl>
    <w:lvl w:ilvl="5" w:tplc="160C3DC0">
      <w:numFmt w:val="bullet"/>
      <w:lvlText w:val="•"/>
      <w:lvlJc w:val="left"/>
      <w:pPr>
        <w:ind w:left="3389" w:hanging="242"/>
      </w:pPr>
      <w:rPr>
        <w:rFonts w:hint="default"/>
        <w:lang w:val="en-US" w:eastAsia="en-US" w:bidi="ar-SA"/>
      </w:rPr>
    </w:lvl>
    <w:lvl w:ilvl="6" w:tplc="6AA48408">
      <w:numFmt w:val="bullet"/>
      <w:lvlText w:val="•"/>
      <w:lvlJc w:val="left"/>
      <w:pPr>
        <w:ind w:left="3939" w:hanging="242"/>
      </w:pPr>
      <w:rPr>
        <w:rFonts w:hint="default"/>
        <w:lang w:val="en-US" w:eastAsia="en-US" w:bidi="ar-SA"/>
      </w:rPr>
    </w:lvl>
    <w:lvl w:ilvl="7" w:tplc="BF1E989E">
      <w:numFmt w:val="bullet"/>
      <w:lvlText w:val="•"/>
      <w:lvlJc w:val="left"/>
      <w:pPr>
        <w:ind w:left="4489" w:hanging="242"/>
      </w:pPr>
      <w:rPr>
        <w:rFonts w:hint="default"/>
        <w:lang w:val="en-US" w:eastAsia="en-US" w:bidi="ar-SA"/>
      </w:rPr>
    </w:lvl>
    <w:lvl w:ilvl="8" w:tplc="4EEC3818">
      <w:numFmt w:val="bullet"/>
      <w:lvlText w:val="•"/>
      <w:lvlJc w:val="left"/>
      <w:pPr>
        <w:ind w:left="5039" w:hanging="242"/>
      </w:pPr>
      <w:rPr>
        <w:rFonts w:hint="default"/>
        <w:lang w:val="en-US" w:eastAsia="en-US" w:bidi="ar-SA"/>
      </w:rPr>
    </w:lvl>
  </w:abstractNum>
  <w:abstractNum w:abstractNumId="2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4"/>
  </w:num>
  <w:num w:numId="14">
    <w:abstractNumId w:val="10"/>
  </w:num>
  <w:num w:numId="15">
    <w:abstractNumId w:val="27"/>
  </w:num>
  <w:num w:numId="16">
    <w:abstractNumId w:val="12"/>
  </w:num>
  <w:num w:numId="17">
    <w:abstractNumId w:val="11"/>
  </w:num>
  <w:num w:numId="18">
    <w:abstractNumId w:val="25"/>
  </w:num>
  <w:num w:numId="19">
    <w:abstractNumId w:val="13"/>
  </w:num>
  <w:num w:numId="20">
    <w:abstractNumId w:val="15"/>
  </w:num>
  <w:num w:numId="21">
    <w:abstractNumId w:val="25"/>
  </w:num>
  <w:num w:numId="22">
    <w:abstractNumId w:val="26"/>
  </w:num>
  <w:num w:numId="23">
    <w:abstractNumId w:val="22"/>
  </w:num>
  <w:num w:numId="24">
    <w:abstractNumId w:val="19"/>
  </w:num>
  <w:num w:numId="25">
    <w:abstractNumId w:val="20"/>
  </w:num>
  <w:num w:numId="26">
    <w:abstractNumId w:val="21"/>
  </w:num>
  <w:num w:numId="27">
    <w:abstractNumId w:val="24"/>
  </w:num>
  <w:num w:numId="28">
    <w:abstractNumId w:val="23"/>
  </w:num>
  <w:num w:numId="29">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IN" w:vendorID="64" w:dllVersion="4096" w:nlCheck="1" w:checkStyle="0"/>
  <w:activeWritingStyle w:appName="MSWord" w:lang="en-GB" w:vendorID="64" w:dllVersion="131078" w:nlCheck="1" w:checkStyle="0"/>
  <w:activeWritingStyle w:appName="MSWord" w:lang="en-US" w:vendorID="64" w:dllVersion="131078" w:nlCheck="1" w:checkStyle="0"/>
  <w:stylePaneFormatFilter w:val="3001"/>
  <w:defaultTabStop w:val="851"/>
  <w:displayHorizontalDrawingGridEvery w:val="0"/>
  <w:displayVerticalDrawingGridEvery w:val="0"/>
  <w:doNotUseMarginsForDrawingGridOrigin/>
  <w:noPunctuationKerning/>
  <w:characterSpacingControl w:val="doNotCompress"/>
  <w:hdrShapeDefaults>
    <o:shapedefaults v:ext="edit" spidmax="8194"/>
  </w:hdrShapeDefaults>
  <w:footnotePr>
    <w:pos w:val="beneathText"/>
    <w:footnote w:id="0"/>
    <w:footnote w:id="1"/>
  </w:footnotePr>
  <w:endnotePr>
    <w:numFmt w:val="chicago"/>
    <w:numStart w:val="4"/>
    <w:endnote w:id="0"/>
    <w:endnote w:id="1"/>
  </w:endnotePr>
  <w:compat/>
  <w:rsids>
    <w:rsidRoot w:val="00A02FAE"/>
    <w:rsid w:val="000026B6"/>
    <w:rsid w:val="00040627"/>
    <w:rsid w:val="00042243"/>
    <w:rsid w:val="00047C3A"/>
    <w:rsid w:val="00085097"/>
    <w:rsid w:val="00085E29"/>
    <w:rsid w:val="000B10BC"/>
    <w:rsid w:val="000E004B"/>
    <w:rsid w:val="000E30A0"/>
    <w:rsid w:val="000E3FEE"/>
    <w:rsid w:val="000E421D"/>
    <w:rsid w:val="000F1423"/>
    <w:rsid w:val="00112904"/>
    <w:rsid w:val="00137524"/>
    <w:rsid w:val="001609A6"/>
    <w:rsid w:val="00165C9A"/>
    <w:rsid w:val="00165E82"/>
    <w:rsid w:val="0017062B"/>
    <w:rsid w:val="001719CA"/>
    <w:rsid w:val="00172F6C"/>
    <w:rsid w:val="00182C21"/>
    <w:rsid w:val="0019063F"/>
    <w:rsid w:val="001A1DED"/>
    <w:rsid w:val="001B2962"/>
    <w:rsid w:val="001B68EF"/>
    <w:rsid w:val="001F2481"/>
    <w:rsid w:val="001F3737"/>
    <w:rsid w:val="0021216C"/>
    <w:rsid w:val="00216A2B"/>
    <w:rsid w:val="002342D5"/>
    <w:rsid w:val="0025079C"/>
    <w:rsid w:val="0025459C"/>
    <w:rsid w:val="002723F0"/>
    <w:rsid w:val="00281139"/>
    <w:rsid w:val="002A5BF3"/>
    <w:rsid w:val="002B2929"/>
    <w:rsid w:val="002C4A7D"/>
    <w:rsid w:val="002F1E94"/>
    <w:rsid w:val="002F6397"/>
    <w:rsid w:val="0030376F"/>
    <w:rsid w:val="00303808"/>
    <w:rsid w:val="00312E05"/>
    <w:rsid w:val="0034527D"/>
    <w:rsid w:val="00347F5A"/>
    <w:rsid w:val="00350AE4"/>
    <w:rsid w:val="00351EA8"/>
    <w:rsid w:val="003608F8"/>
    <w:rsid w:val="003803E6"/>
    <w:rsid w:val="0039456A"/>
    <w:rsid w:val="003A1152"/>
    <w:rsid w:val="003C1F99"/>
    <w:rsid w:val="003D01D1"/>
    <w:rsid w:val="003E0586"/>
    <w:rsid w:val="003E41EB"/>
    <w:rsid w:val="00430B40"/>
    <w:rsid w:val="00431178"/>
    <w:rsid w:val="00436A88"/>
    <w:rsid w:val="00451CBC"/>
    <w:rsid w:val="00473E93"/>
    <w:rsid w:val="00480A2E"/>
    <w:rsid w:val="0048268F"/>
    <w:rsid w:val="00482D75"/>
    <w:rsid w:val="00486CFB"/>
    <w:rsid w:val="0049738B"/>
    <w:rsid w:val="004A01AA"/>
    <w:rsid w:val="004A39D8"/>
    <w:rsid w:val="004B0687"/>
    <w:rsid w:val="004B7A82"/>
    <w:rsid w:val="004C3C5C"/>
    <w:rsid w:val="004D11F5"/>
    <w:rsid w:val="004E3677"/>
    <w:rsid w:val="004F0187"/>
    <w:rsid w:val="004F580A"/>
    <w:rsid w:val="0050275D"/>
    <w:rsid w:val="00521A70"/>
    <w:rsid w:val="00527848"/>
    <w:rsid w:val="00533897"/>
    <w:rsid w:val="00543871"/>
    <w:rsid w:val="00555260"/>
    <w:rsid w:val="00567E51"/>
    <w:rsid w:val="005A78DD"/>
    <w:rsid w:val="005C076F"/>
    <w:rsid w:val="005C24F9"/>
    <w:rsid w:val="005C4828"/>
    <w:rsid w:val="005D73D8"/>
    <w:rsid w:val="005F03B4"/>
    <w:rsid w:val="0062000C"/>
    <w:rsid w:val="00626933"/>
    <w:rsid w:val="006404C3"/>
    <w:rsid w:val="006539BF"/>
    <w:rsid w:val="00660AC2"/>
    <w:rsid w:val="00671028"/>
    <w:rsid w:val="006B1D22"/>
    <w:rsid w:val="006D3D7D"/>
    <w:rsid w:val="006E33A4"/>
    <w:rsid w:val="006E490A"/>
    <w:rsid w:val="006F1275"/>
    <w:rsid w:val="006F178E"/>
    <w:rsid w:val="006F23E4"/>
    <w:rsid w:val="0070544C"/>
    <w:rsid w:val="00707540"/>
    <w:rsid w:val="00707A80"/>
    <w:rsid w:val="00716C45"/>
    <w:rsid w:val="00721922"/>
    <w:rsid w:val="00732EFB"/>
    <w:rsid w:val="007420CC"/>
    <w:rsid w:val="007444E6"/>
    <w:rsid w:val="00753FA5"/>
    <w:rsid w:val="0076546A"/>
    <w:rsid w:val="00766B3B"/>
    <w:rsid w:val="00781254"/>
    <w:rsid w:val="00790875"/>
    <w:rsid w:val="007A4E06"/>
    <w:rsid w:val="007A5ED1"/>
    <w:rsid w:val="007A6CCA"/>
    <w:rsid w:val="007B7D59"/>
    <w:rsid w:val="007C4E40"/>
    <w:rsid w:val="007D3B0A"/>
    <w:rsid w:val="007E0E09"/>
    <w:rsid w:val="007F6DB2"/>
    <w:rsid w:val="008052A3"/>
    <w:rsid w:val="00807688"/>
    <w:rsid w:val="00810164"/>
    <w:rsid w:val="00810182"/>
    <w:rsid w:val="00836D1D"/>
    <w:rsid w:val="00873948"/>
    <w:rsid w:val="00876481"/>
    <w:rsid w:val="00886F81"/>
    <w:rsid w:val="00897D9E"/>
    <w:rsid w:val="008A1028"/>
    <w:rsid w:val="008A7912"/>
    <w:rsid w:val="008B4899"/>
    <w:rsid w:val="008C3BAA"/>
    <w:rsid w:val="008D6EC1"/>
    <w:rsid w:val="008E0D73"/>
    <w:rsid w:val="008E1282"/>
    <w:rsid w:val="008E20F8"/>
    <w:rsid w:val="00910E9A"/>
    <w:rsid w:val="00913D90"/>
    <w:rsid w:val="009152A0"/>
    <w:rsid w:val="00920448"/>
    <w:rsid w:val="0092622C"/>
    <w:rsid w:val="00935719"/>
    <w:rsid w:val="009406AF"/>
    <w:rsid w:val="0096632E"/>
    <w:rsid w:val="009947F8"/>
    <w:rsid w:val="009A169E"/>
    <w:rsid w:val="009B7728"/>
    <w:rsid w:val="009D209E"/>
    <w:rsid w:val="00A02ED7"/>
    <w:rsid w:val="00A02FAE"/>
    <w:rsid w:val="00A04EC9"/>
    <w:rsid w:val="00A102D2"/>
    <w:rsid w:val="00A3588C"/>
    <w:rsid w:val="00A73F47"/>
    <w:rsid w:val="00A77079"/>
    <w:rsid w:val="00A855BA"/>
    <w:rsid w:val="00A95023"/>
    <w:rsid w:val="00A95E74"/>
    <w:rsid w:val="00AC205D"/>
    <w:rsid w:val="00AE2298"/>
    <w:rsid w:val="00B07A38"/>
    <w:rsid w:val="00B52E1E"/>
    <w:rsid w:val="00B53D8C"/>
    <w:rsid w:val="00B608C0"/>
    <w:rsid w:val="00BB3190"/>
    <w:rsid w:val="00BC1D18"/>
    <w:rsid w:val="00BE4B8C"/>
    <w:rsid w:val="00BE678B"/>
    <w:rsid w:val="00BF3E8E"/>
    <w:rsid w:val="00C01E9E"/>
    <w:rsid w:val="00C12B9F"/>
    <w:rsid w:val="00C6720D"/>
    <w:rsid w:val="00C71B83"/>
    <w:rsid w:val="00C8568C"/>
    <w:rsid w:val="00C939D0"/>
    <w:rsid w:val="00C959F7"/>
    <w:rsid w:val="00CA0A7F"/>
    <w:rsid w:val="00CA4DCD"/>
    <w:rsid w:val="00CB222A"/>
    <w:rsid w:val="00CC14C6"/>
    <w:rsid w:val="00CD02C0"/>
    <w:rsid w:val="00CE57CF"/>
    <w:rsid w:val="00CF1546"/>
    <w:rsid w:val="00CF2D20"/>
    <w:rsid w:val="00D04B3D"/>
    <w:rsid w:val="00D107BF"/>
    <w:rsid w:val="00D21DD8"/>
    <w:rsid w:val="00D30CE7"/>
    <w:rsid w:val="00D36968"/>
    <w:rsid w:val="00D4331B"/>
    <w:rsid w:val="00D64625"/>
    <w:rsid w:val="00D8588E"/>
    <w:rsid w:val="00D87BBD"/>
    <w:rsid w:val="00D94C95"/>
    <w:rsid w:val="00DB05E9"/>
    <w:rsid w:val="00DB1E17"/>
    <w:rsid w:val="00DB2B3D"/>
    <w:rsid w:val="00DC45CB"/>
    <w:rsid w:val="00E01C73"/>
    <w:rsid w:val="00E1598F"/>
    <w:rsid w:val="00E27F57"/>
    <w:rsid w:val="00E31FF9"/>
    <w:rsid w:val="00E33E6F"/>
    <w:rsid w:val="00E47C2F"/>
    <w:rsid w:val="00E576E4"/>
    <w:rsid w:val="00E61BC3"/>
    <w:rsid w:val="00E6246A"/>
    <w:rsid w:val="00E71901"/>
    <w:rsid w:val="00E748F6"/>
    <w:rsid w:val="00E8336B"/>
    <w:rsid w:val="00E97584"/>
    <w:rsid w:val="00EA143B"/>
    <w:rsid w:val="00EA3301"/>
    <w:rsid w:val="00EA3F4B"/>
    <w:rsid w:val="00EB25AA"/>
    <w:rsid w:val="00EB46DE"/>
    <w:rsid w:val="00EB4728"/>
    <w:rsid w:val="00EB6DE3"/>
    <w:rsid w:val="00ED67AC"/>
    <w:rsid w:val="00EE6489"/>
    <w:rsid w:val="00F0485F"/>
    <w:rsid w:val="00F174BE"/>
    <w:rsid w:val="00F234C5"/>
    <w:rsid w:val="00F241D9"/>
    <w:rsid w:val="00F632DA"/>
    <w:rsid w:val="00F7546A"/>
    <w:rsid w:val="00F76A93"/>
    <w:rsid w:val="00F8748F"/>
    <w:rsid w:val="00F9152A"/>
    <w:rsid w:val="00F92CCC"/>
    <w:rsid w:val="00F93A39"/>
    <w:rsid w:val="00FB661D"/>
    <w:rsid w:val="00FD3975"/>
    <w:rsid w:val="00FD4646"/>
  </w:rsids>
  <m:mathPr>
    <m:mathFont m:val="Cambria Math"/>
    <m:brkBin m:val="before"/>
    <m:brkBinSub m:val="--"/>
    <m:smallFrac/>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95"/>
    <w:rPr>
      <w:rFonts w:ascii="Sabon" w:hAnsi="Sabon"/>
      <w:sz w:val="22"/>
      <w:lang w:eastAsia="en-US"/>
    </w:rPr>
  </w:style>
  <w:style w:type="paragraph" w:styleId="Heading1">
    <w:name w:val="heading 1"/>
    <w:basedOn w:val="Normal"/>
    <w:next w:val="Normal"/>
    <w:qFormat/>
    <w:rsid w:val="00D94C95"/>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D94C9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D94C95"/>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D94C95"/>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D94C95"/>
    <w:pPr>
      <w:numPr>
        <w:ilvl w:val="4"/>
        <w:numId w:val="13"/>
      </w:numPr>
      <w:spacing w:before="240" w:after="60"/>
      <w:outlineLvl w:val="4"/>
    </w:pPr>
    <w:rPr>
      <w:b/>
      <w:bCs/>
      <w:i/>
      <w:iCs/>
      <w:sz w:val="26"/>
      <w:szCs w:val="26"/>
    </w:rPr>
  </w:style>
  <w:style w:type="paragraph" w:styleId="Heading6">
    <w:name w:val="heading 6"/>
    <w:basedOn w:val="Normal"/>
    <w:next w:val="Normal"/>
    <w:qFormat/>
    <w:rsid w:val="00D94C95"/>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D94C95"/>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D94C95"/>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D94C95"/>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D94C95"/>
  </w:style>
  <w:style w:type="paragraph" w:customStyle="1" w:styleId="wfxFaxNum">
    <w:name w:val="wfxFaxNum"/>
    <w:basedOn w:val="Normal"/>
    <w:semiHidden/>
    <w:rsid w:val="00D94C95"/>
  </w:style>
  <w:style w:type="paragraph" w:customStyle="1" w:styleId="wfxDate">
    <w:name w:val="wfxDate"/>
    <w:basedOn w:val="Normal"/>
    <w:semiHidden/>
    <w:rsid w:val="00D94C95"/>
  </w:style>
  <w:style w:type="paragraph" w:customStyle="1" w:styleId="wfxTime">
    <w:name w:val="wfxTime"/>
    <w:basedOn w:val="Normal"/>
    <w:semiHidden/>
    <w:rsid w:val="00D94C95"/>
  </w:style>
  <w:style w:type="paragraph" w:styleId="FootnoteText">
    <w:name w:val="footnote text"/>
    <w:basedOn w:val="Normal"/>
    <w:semiHidden/>
    <w:rsid w:val="00D94C95"/>
    <w:rPr>
      <w:rFonts w:ascii="Times" w:hAnsi="Times"/>
      <w:sz w:val="20"/>
    </w:rPr>
  </w:style>
  <w:style w:type="character" w:styleId="FootnoteReference">
    <w:name w:val="footnote reference"/>
    <w:semiHidden/>
    <w:rsid w:val="00D94C95"/>
    <w:rPr>
      <w:rFonts w:ascii="Times New Roman" w:hAnsi="Times New Roman"/>
      <w:sz w:val="22"/>
      <w:szCs w:val="22"/>
      <w:vertAlign w:val="superscript"/>
    </w:rPr>
  </w:style>
  <w:style w:type="table" w:styleId="TableGrid">
    <w:name w:val="Table Grid"/>
    <w:basedOn w:val="TableNormal"/>
    <w:semiHidden/>
    <w:rsid w:val="00D94C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D94C95"/>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D94C95"/>
    <w:pPr>
      <w:numPr>
        <w:numId w:val="16"/>
      </w:numPr>
      <w:jc w:val="both"/>
    </w:pPr>
    <w:rPr>
      <w:rFonts w:ascii="Times" w:hAnsi="Times"/>
      <w:color w:val="000000"/>
      <w:sz w:val="22"/>
      <w:szCs w:val="22"/>
      <w:lang w:eastAsia="en-US"/>
    </w:rPr>
  </w:style>
  <w:style w:type="numbering" w:styleId="1ai">
    <w:name w:val="Outline List 1"/>
    <w:basedOn w:val="NoList"/>
    <w:semiHidden/>
    <w:rsid w:val="00D94C95"/>
    <w:pPr>
      <w:numPr>
        <w:numId w:val="12"/>
      </w:numPr>
    </w:pPr>
  </w:style>
  <w:style w:type="paragraph" w:styleId="EndnoteText">
    <w:name w:val="endnote text"/>
    <w:basedOn w:val="Normal"/>
    <w:semiHidden/>
    <w:rsid w:val="00D94C95"/>
    <w:rPr>
      <w:sz w:val="20"/>
    </w:rPr>
  </w:style>
  <w:style w:type="character" w:styleId="EndnoteReference">
    <w:name w:val="endnote reference"/>
    <w:semiHidden/>
    <w:rsid w:val="00D94C95"/>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D94C95"/>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D94C95"/>
    <w:rPr>
      <w:i/>
      <w:iCs/>
      <w:color w:val="000000"/>
      <w:sz w:val="22"/>
      <w:szCs w:val="22"/>
      <w:lang w:eastAsia="en-US"/>
    </w:rPr>
  </w:style>
  <w:style w:type="character" w:customStyle="1" w:styleId="StyleBodyCharNotBoldItalicChar">
    <w:name w:val="Style Body Char + Not Bold Italic Char"/>
    <w:link w:val="StyleBodyCharNotBoldItalic"/>
    <w:rsid w:val="00D94C95"/>
    <w:rPr>
      <w:i/>
      <w:iCs/>
      <w:color w:val="000000"/>
      <w:sz w:val="22"/>
      <w:szCs w:val="22"/>
      <w:lang w:val="en-GB" w:eastAsia="en-US" w:bidi="ar-SA"/>
    </w:rPr>
  </w:style>
  <w:style w:type="character" w:customStyle="1" w:styleId="MTEquationSection">
    <w:name w:val="MTEquationSection"/>
    <w:semiHidden/>
    <w:rsid w:val="00D94C95"/>
    <w:rPr>
      <w:vanish/>
      <w:color w:val="FF0000"/>
      <w:lang w:val="en-US"/>
    </w:rPr>
  </w:style>
  <w:style w:type="paragraph" w:customStyle="1" w:styleId="MTDisplayEquation">
    <w:name w:val="MTDisplayEquation"/>
    <w:basedOn w:val="Normal"/>
    <w:semiHidden/>
    <w:rsid w:val="00D94C95"/>
    <w:pPr>
      <w:tabs>
        <w:tab w:val="center" w:pos="4560"/>
        <w:tab w:val="right" w:pos="9120"/>
      </w:tabs>
    </w:pPr>
    <w:rPr>
      <w:lang w:val="en-US"/>
    </w:rPr>
  </w:style>
  <w:style w:type="character" w:customStyle="1" w:styleId="times">
    <w:name w:val="times"/>
    <w:basedOn w:val="DefaultParagraphFont"/>
    <w:semiHidden/>
    <w:rsid w:val="00D94C95"/>
  </w:style>
  <w:style w:type="paragraph" w:styleId="NormalWeb">
    <w:name w:val="Normal (Web)"/>
    <w:basedOn w:val="Normal"/>
    <w:semiHidden/>
    <w:rsid w:val="00D94C95"/>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D94C95"/>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D94C95"/>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rsid w:val="00D94C95"/>
    <w:pPr>
      <w:numPr>
        <w:numId w:val="13"/>
      </w:numPr>
    </w:pPr>
  </w:style>
  <w:style w:type="paragraph" w:styleId="BlockText">
    <w:name w:val="Block Text"/>
    <w:basedOn w:val="Normal"/>
    <w:semiHidden/>
    <w:rsid w:val="00D94C95"/>
    <w:pPr>
      <w:spacing w:after="120"/>
      <w:ind w:left="1440" w:right="1440"/>
    </w:pPr>
  </w:style>
  <w:style w:type="paragraph" w:styleId="BodyText">
    <w:name w:val="Body Text"/>
    <w:basedOn w:val="Normal"/>
    <w:semiHidden/>
    <w:rsid w:val="00D94C95"/>
    <w:pPr>
      <w:spacing w:after="120"/>
    </w:pPr>
  </w:style>
  <w:style w:type="paragraph" w:styleId="BodyText2">
    <w:name w:val="Body Text 2"/>
    <w:basedOn w:val="Normal"/>
    <w:semiHidden/>
    <w:rsid w:val="00D94C95"/>
    <w:pPr>
      <w:spacing w:after="120" w:line="480" w:lineRule="auto"/>
    </w:pPr>
  </w:style>
  <w:style w:type="paragraph" w:styleId="BodyText3">
    <w:name w:val="Body Text 3"/>
    <w:basedOn w:val="Normal"/>
    <w:semiHidden/>
    <w:rsid w:val="00D94C95"/>
    <w:pPr>
      <w:spacing w:after="120"/>
    </w:pPr>
    <w:rPr>
      <w:sz w:val="16"/>
      <w:szCs w:val="16"/>
    </w:rPr>
  </w:style>
  <w:style w:type="paragraph" w:styleId="BodyTextFirstIndent">
    <w:name w:val="Body Text First Indent"/>
    <w:basedOn w:val="BodyText"/>
    <w:semiHidden/>
    <w:rsid w:val="00D94C95"/>
    <w:pPr>
      <w:ind w:firstLine="210"/>
    </w:pPr>
  </w:style>
  <w:style w:type="paragraph" w:styleId="BodyTextIndent">
    <w:name w:val="Body Text Indent"/>
    <w:basedOn w:val="Normal"/>
    <w:semiHidden/>
    <w:rsid w:val="00D94C95"/>
    <w:pPr>
      <w:spacing w:after="120"/>
      <w:ind w:left="283"/>
    </w:pPr>
  </w:style>
  <w:style w:type="paragraph" w:styleId="BodyTextFirstIndent2">
    <w:name w:val="Body Text First Indent 2"/>
    <w:basedOn w:val="BodyTextIndent"/>
    <w:semiHidden/>
    <w:rsid w:val="00D94C95"/>
    <w:pPr>
      <w:ind w:firstLine="210"/>
    </w:pPr>
  </w:style>
  <w:style w:type="paragraph" w:styleId="BodyTextIndent2">
    <w:name w:val="Body Text Indent 2"/>
    <w:basedOn w:val="Normal"/>
    <w:semiHidden/>
    <w:rsid w:val="00D94C95"/>
    <w:pPr>
      <w:spacing w:after="120" w:line="480" w:lineRule="auto"/>
      <w:ind w:left="283"/>
    </w:pPr>
  </w:style>
  <w:style w:type="paragraph" w:styleId="BodyTextIndent3">
    <w:name w:val="Body Text Indent 3"/>
    <w:basedOn w:val="Normal"/>
    <w:semiHidden/>
    <w:rsid w:val="00D94C95"/>
    <w:pPr>
      <w:spacing w:after="120"/>
      <w:ind w:left="283"/>
    </w:pPr>
    <w:rPr>
      <w:sz w:val="16"/>
      <w:szCs w:val="16"/>
    </w:rPr>
  </w:style>
  <w:style w:type="paragraph" w:styleId="Closing">
    <w:name w:val="Closing"/>
    <w:basedOn w:val="Normal"/>
    <w:semiHidden/>
    <w:rsid w:val="00D94C95"/>
    <w:pPr>
      <w:ind w:left="4252"/>
    </w:pPr>
  </w:style>
  <w:style w:type="paragraph" w:styleId="Date">
    <w:name w:val="Date"/>
    <w:basedOn w:val="Normal"/>
    <w:next w:val="Normal"/>
    <w:semiHidden/>
    <w:rsid w:val="00D94C95"/>
  </w:style>
  <w:style w:type="paragraph" w:styleId="E-mailSignature">
    <w:name w:val="E-mail Signature"/>
    <w:basedOn w:val="Normal"/>
    <w:semiHidden/>
    <w:rsid w:val="00D94C95"/>
  </w:style>
  <w:style w:type="character" w:styleId="Emphasis">
    <w:name w:val="Emphasis"/>
    <w:qFormat/>
    <w:rsid w:val="00D94C95"/>
    <w:rPr>
      <w:i/>
      <w:iCs/>
    </w:rPr>
  </w:style>
  <w:style w:type="paragraph" w:styleId="EnvelopeAddress">
    <w:name w:val="envelope address"/>
    <w:basedOn w:val="Normal"/>
    <w:semiHidden/>
    <w:rsid w:val="00D94C9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D94C95"/>
    <w:rPr>
      <w:rFonts w:ascii="Arial" w:hAnsi="Arial" w:cs="Arial"/>
      <w:sz w:val="20"/>
    </w:rPr>
  </w:style>
  <w:style w:type="character" w:styleId="FollowedHyperlink">
    <w:name w:val="FollowedHyperlink"/>
    <w:semiHidden/>
    <w:rsid w:val="00D94C95"/>
    <w:rPr>
      <w:color w:val="800080"/>
      <w:u w:val="single"/>
    </w:rPr>
  </w:style>
  <w:style w:type="paragraph" w:styleId="Footer">
    <w:name w:val="footer"/>
    <w:basedOn w:val="Normal"/>
    <w:semiHidden/>
    <w:rsid w:val="00D94C95"/>
    <w:pPr>
      <w:tabs>
        <w:tab w:val="center" w:pos="4320"/>
        <w:tab w:val="right" w:pos="8640"/>
      </w:tabs>
    </w:pPr>
  </w:style>
  <w:style w:type="paragraph" w:styleId="Header">
    <w:name w:val="header"/>
    <w:basedOn w:val="Normal"/>
    <w:semiHidden/>
    <w:rsid w:val="00D94C95"/>
    <w:pPr>
      <w:tabs>
        <w:tab w:val="center" w:pos="4320"/>
        <w:tab w:val="right" w:pos="8640"/>
      </w:tabs>
    </w:pPr>
  </w:style>
  <w:style w:type="character" w:styleId="HTMLAcronym">
    <w:name w:val="HTML Acronym"/>
    <w:basedOn w:val="DefaultParagraphFont"/>
    <w:semiHidden/>
    <w:rsid w:val="00D94C95"/>
  </w:style>
  <w:style w:type="paragraph" w:styleId="HTMLAddress">
    <w:name w:val="HTML Address"/>
    <w:basedOn w:val="Normal"/>
    <w:semiHidden/>
    <w:rsid w:val="00D94C95"/>
    <w:rPr>
      <w:i/>
      <w:iCs/>
    </w:rPr>
  </w:style>
  <w:style w:type="character" w:styleId="HTMLCite">
    <w:name w:val="HTML Cite"/>
    <w:semiHidden/>
    <w:rsid w:val="00D94C95"/>
    <w:rPr>
      <w:i/>
      <w:iCs/>
    </w:rPr>
  </w:style>
  <w:style w:type="character" w:styleId="HTMLCode">
    <w:name w:val="HTML Code"/>
    <w:semiHidden/>
    <w:rsid w:val="00D94C95"/>
    <w:rPr>
      <w:rFonts w:ascii="Courier New" w:hAnsi="Courier New" w:cs="Courier New"/>
      <w:sz w:val="20"/>
      <w:szCs w:val="20"/>
    </w:rPr>
  </w:style>
  <w:style w:type="character" w:styleId="HTMLDefinition">
    <w:name w:val="HTML Definition"/>
    <w:semiHidden/>
    <w:rsid w:val="00D94C95"/>
    <w:rPr>
      <w:i/>
      <w:iCs/>
    </w:rPr>
  </w:style>
  <w:style w:type="character" w:styleId="HTMLKeyboard">
    <w:name w:val="HTML Keyboard"/>
    <w:semiHidden/>
    <w:rsid w:val="00D94C95"/>
    <w:rPr>
      <w:rFonts w:ascii="Courier New" w:hAnsi="Courier New" w:cs="Courier New"/>
      <w:sz w:val="20"/>
      <w:szCs w:val="20"/>
    </w:rPr>
  </w:style>
  <w:style w:type="paragraph" w:styleId="HTMLPreformatted">
    <w:name w:val="HTML Preformatted"/>
    <w:basedOn w:val="Normal"/>
    <w:semiHidden/>
    <w:rsid w:val="00D94C95"/>
    <w:rPr>
      <w:rFonts w:ascii="Courier New" w:hAnsi="Courier New" w:cs="Courier New"/>
      <w:sz w:val="20"/>
    </w:rPr>
  </w:style>
  <w:style w:type="character" w:styleId="HTMLSample">
    <w:name w:val="HTML Sample"/>
    <w:semiHidden/>
    <w:rsid w:val="00D94C95"/>
    <w:rPr>
      <w:rFonts w:ascii="Courier New" w:hAnsi="Courier New" w:cs="Courier New"/>
    </w:rPr>
  </w:style>
  <w:style w:type="character" w:styleId="HTMLTypewriter">
    <w:name w:val="HTML Typewriter"/>
    <w:semiHidden/>
    <w:rsid w:val="00D94C95"/>
    <w:rPr>
      <w:rFonts w:ascii="Courier New" w:hAnsi="Courier New" w:cs="Courier New"/>
      <w:sz w:val="20"/>
      <w:szCs w:val="20"/>
    </w:rPr>
  </w:style>
  <w:style w:type="character" w:styleId="HTMLVariable">
    <w:name w:val="HTML Variable"/>
    <w:semiHidden/>
    <w:rsid w:val="00D94C95"/>
    <w:rPr>
      <w:i/>
      <w:iCs/>
    </w:rPr>
  </w:style>
  <w:style w:type="character" w:styleId="Hyperlink">
    <w:name w:val="Hyperlink"/>
    <w:semiHidden/>
    <w:rsid w:val="00D94C95"/>
    <w:rPr>
      <w:color w:val="0000FF"/>
      <w:u w:val="single"/>
    </w:rPr>
  </w:style>
  <w:style w:type="character" w:styleId="LineNumber">
    <w:name w:val="line number"/>
    <w:basedOn w:val="DefaultParagraphFont"/>
    <w:semiHidden/>
    <w:rsid w:val="00D94C95"/>
  </w:style>
  <w:style w:type="paragraph" w:styleId="List">
    <w:name w:val="List"/>
    <w:basedOn w:val="Normal"/>
    <w:semiHidden/>
    <w:rsid w:val="00D94C95"/>
    <w:pPr>
      <w:ind w:left="283" w:hanging="283"/>
    </w:pPr>
  </w:style>
  <w:style w:type="paragraph" w:styleId="List2">
    <w:name w:val="List 2"/>
    <w:basedOn w:val="Normal"/>
    <w:semiHidden/>
    <w:rsid w:val="00D94C95"/>
    <w:pPr>
      <w:ind w:left="566" w:hanging="283"/>
    </w:pPr>
  </w:style>
  <w:style w:type="paragraph" w:styleId="List3">
    <w:name w:val="List 3"/>
    <w:basedOn w:val="Normal"/>
    <w:semiHidden/>
    <w:rsid w:val="00D94C95"/>
    <w:pPr>
      <w:ind w:left="849" w:hanging="283"/>
    </w:pPr>
  </w:style>
  <w:style w:type="paragraph" w:styleId="List4">
    <w:name w:val="List 4"/>
    <w:basedOn w:val="Normal"/>
    <w:semiHidden/>
    <w:rsid w:val="00D94C95"/>
    <w:pPr>
      <w:ind w:left="1132" w:hanging="283"/>
    </w:pPr>
  </w:style>
  <w:style w:type="paragraph" w:styleId="List5">
    <w:name w:val="List 5"/>
    <w:basedOn w:val="Normal"/>
    <w:semiHidden/>
    <w:rsid w:val="00D94C95"/>
    <w:pPr>
      <w:ind w:left="1415" w:hanging="283"/>
    </w:pPr>
  </w:style>
  <w:style w:type="paragraph" w:styleId="ListBullet">
    <w:name w:val="List Bullet"/>
    <w:basedOn w:val="Normal"/>
    <w:autoRedefine/>
    <w:semiHidden/>
    <w:rsid w:val="00D94C95"/>
    <w:pPr>
      <w:numPr>
        <w:numId w:val="1"/>
      </w:numPr>
    </w:pPr>
  </w:style>
  <w:style w:type="paragraph" w:styleId="ListBullet2">
    <w:name w:val="List Bullet 2"/>
    <w:basedOn w:val="Normal"/>
    <w:autoRedefine/>
    <w:semiHidden/>
    <w:rsid w:val="00D94C95"/>
    <w:pPr>
      <w:numPr>
        <w:numId w:val="2"/>
      </w:numPr>
    </w:pPr>
  </w:style>
  <w:style w:type="paragraph" w:styleId="ListBullet3">
    <w:name w:val="List Bullet 3"/>
    <w:basedOn w:val="Normal"/>
    <w:autoRedefine/>
    <w:semiHidden/>
    <w:rsid w:val="00D94C95"/>
    <w:pPr>
      <w:numPr>
        <w:numId w:val="3"/>
      </w:numPr>
    </w:pPr>
  </w:style>
  <w:style w:type="paragraph" w:styleId="ListBullet4">
    <w:name w:val="List Bullet 4"/>
    <w:basedOn w:val="Normal"/>
    <w:autoRedefine/>
    <w:semiHidden/>
    <w:rsid w:val="00D94C95"/>
    <w:pPr>
      <w:numPr>
        <w:numId w:val="4"/>
      </w:numPr>
    </w:pPr>
  </w:style>
  <w:style w:type="paragraph" w:styleId="ListBullet5">
    <w:name w:val="List Bullet 5"/>
    <w:basedOn w:val="Normal"/>
    <w:autoRedefine/>
    <w:semiHidden/>
    <w:rsid w:val="00D94C95"/>
    <w:pPr>
      <w:numPr>
        <w:numId w:val="5"/>
      </w:numPr>
    </w:pPr>
  </w:style>
  <w:style w:type="paragraph" w:styleId="ListContinue">
    <w:name w:val="List Continue"/>
    <w:basedOn w:val="Normal"/>
    <w:semiHidden/>
    <w:rsid w:val="00D94C95"/>
    <w:pPr>
      <w:spacing w:after="120"/>
      <w:ind w:left="283"/>
    </w:pPr>
  </w:style>
  <w:style w:type="paragraph" w:styleId="ListContinue2">
    <w:name w:val="List Continue 2"/>
    <w:basedOn w:val="Normal"/>
    <w:semiHidden/>
    <w:rsid w:val="00D94C95"/>
    <w:pPr>
      <w:spacing w:after="120"/>
      <w:ind w:left="566"/>
    </w:pPr>
  </w:style>
  <w:style w:type="paragraph" w:styleId="ListContinue3">
    <w:name w:val="List Continue 3"/>
    <w:basedOn w:val="Normal"/>
    <w:semiHidden/>
    <w:rsid w:val="00D94C95"/>
    <w:pPr>
      <w:spacing w:after="120"/>
      <w:ind w:left="849"/>
    </w:pPr>
  </w:style>
  <w:style w:type="paragraph" w:styleId="ListContinue4">
    <w:name w:val="List Continue 4"/>
    <w:basedOn w:val="Normal"/>
    <w:semiHidden/>
    <w:rsid w:val="00D94C95"/>
    <w:pPr>
      <w:spacing w:after="120"/>
      <w:ind w:left="1132"/>
    </w:pPr>
  </w:style>
  <w:style w:type="paragraph" w:styleId="ListContinue5">
    <w:name w:val="List Continue 5"/>
    <w:basedOn w:val="Normal"/>
    <w:semiHidden/>
    <w:rsid w:val="00D94C95"/>
    <w:pPr>
      <w:spacing w:after="120"/>
      <w:ind w:left="1415"/>
    </w:pPr>
  </w:style>
  <w:style w:type="paragraph" w:styleId="ListNumber">
    <w:name w:val="List Number"/>
    <w:basedOn w:val="Normal"/>
    <w:semiHidden/>
    <w:rsid w:val="00D94C95"/>
    <w:pPr>
      <w:numPr>
        <w:numId w:val="6"/>
      </w:numPr>
    </w:pPr>
  </w:style>
  <w:style w:type="paragraph" w:styleId="ListNumber2">
    <w:name w:val="List Number 2"/>
    <w:basedOn w:val="Normal"/>
    <w:semiHidden/>
    <w:rsid w:val="00D94C95"/>
    <w:pPr>
      <w:numPr>
        <w:numId w:val="7"/>
      </w:numPr>
    </w:pPr>
  </w:style>
  <w:style w:type="paragraph" w:styleId="ListNumber3">
    <w:name w:val="List Number 3"/>
    <w:basedOn w:val="Normal"/>
    <w:semiHidden/>
    <w:rsid w:val="00D94C95"/>
    <w:pPr>
      <w:numPr>
        <w:numId w:val="8"/>
      </w:numPr>
    </w:pPr>
  </w:style>
  <w:style w:type="paragraph" w:styleId="ListNumber4">
    <w:name w:val="List Number 4"/>
    <w:basedOn w:val="Normal"/>
    <w:semiHidden/>
    <w:rsid w:val="00D94C95"/>
    <w:pPr>
      <w:numPr>
        <w:numId w:val="9"/>
      </w:numPr>
    </w:pPr>
  </w:style>
  <w:style w:type="paragraph" w:styleId="ListNumber5">
    <w:name w:val="List Number 5"/>
    <w:basedOn w:val="Normal"/>
    <w:semiHidden/>
    <w:rsid w:val="00D94C95"/>
    <w:pPr>
      <w:numPr>
        <w:numId w:val="10"/>
      </w:numPr>
    </w:pPr>
  </w:style>
  <w:style w:type="paragraph" w:styleId="MessageHeader">
    <w:name w:val="Message Header"/>
    <w:basedOn w:val="Normal"/>
    <w:semiHidden/>
    <w:rsid w:val="00D94C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D94C95"/>
    <w:pPr>
      <w:ind w:left="720"/>
    </w:pPr>
  </w:style>
  <w:style w:type="paragraph" w:styleId="NoteHeading">
    <w:name w:val="Note Heading"/>
    <w:basedOn w:val="Normal"/>
    <w:next w:val="Normal"/>
    <w:semiHidden/>
    <w:rsid w:val="00D94C95"/>
  </w:style>
  <w:style w:type="character" w:styleId="PageNumber">
    <w:name w:val="page number"/>
    <w:basedOn w:val="DefaultParagraphFont"/>
    <w:semiHidden/>
    <w:rsid w:val="00D94C95"/>
  </w:style>
  <w:style w:type="paragraph" w:styleId="PlainText">
    <w:name w:val="Plain Text"/>
    <w:basedOn w:val="Normal"/>
    <w:semiHidden/>
    <w:rsid w:val="00D94C95"/>
    <w:rPr>
      <w:rFonts w:ascii="Courier New" w:hAnsi="Courier New" w:cs="Courier New"/>
      <w:sz w:val="20"/>
    </w:rPr>
  </w:style>
  <w:style w:type="paragraph" w:styleId="Salutation">
    <w:name w:val="Salutation"/>
    <w:basedOn w:val="Normal"/>
    <w:next w:val="Normal"/>
    <w:semiHidden/>
    <w:rsid w:val="00D94C95"/>
  </w:style>
  <w:style w:type="paragraph" w:styleId="Signature">
    <w:name w:val="Signature"/>
    <w:basedOn w:val="Normal"/>
    <w:semiHidden/>
    <w:rsid w:val="00D94C95"/>
    <w:pPr>
      <w:ind w:left="4252"/>
    </w:pPr>
  </w:style>
  <w:style w:type="character" w:styleId="Strong">
    <w:name w:val="Strong"/>
    <w:qFormat/>
    <w:rsid w:val="00D94C95"/>
    <w:rPr>
      <w:b/>
      <w:bCs/>
    </w:rPr>
  </w:style>
  <w:style w:type="paragraph" w:styleId="Subtitle">
    <w:name w:val="Subtitle"/>
    <w:basedOn w:val="Normal"/>
    <w:qFormat/>
    <w:rsid w:val="00D94C95"/>
    <w:pPr>
      <w:spacing w:after="60"/>
      <w:jc w:val="center"/>
      <w:outlineLvl w:val="1"/>
    </w:pPr>
    <w:rPr>
      <w:rFonts w:ascii="Arial" w:hAnsi="Arial" w:cs="Arial"/>
      <w:sz w:val="24"/>
      <w:szCs w:val="24"/>
    </w:rPr>
  </w:style>
  <w:style w:type="table" w:styleId="Table3Deffects1">
    <w:name w:val="Table 3D effects 1"/>
    <w:basedOn w:val="TableNormal"/>
    <w:semiHidden/>
    <w:rsid w:val="00D94C9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94C9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94C9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94C9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94C9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94C9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94C9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94C9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94C9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94C9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94C9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94C9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94C9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94C9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94C9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94C9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94C9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94C9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94C9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94C9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94C9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94C9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94C9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94C9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94C9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94C9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94C9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94C9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94C9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94C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94C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94C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94C9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94C9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94C9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94C9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94C9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94C9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94C9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94C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94C9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94C9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94C9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D94C95"/>
    <w:pPr>
      <w:spacing w:before="1588" w:after="567"/>
    </w:pPr>
    <w:rPr>
      <w:rFonts w:ascii="Times" w:hAnsi="Times"/>
      <w:b/>
      <w:sz w:val="34"/>
      <w:szCs w:val="34"/>
    </w:rPr>
  </w:style>
  <w:style w:type="paragraph" w:customStyle="1" w:styleId="subsubsection">
    <w:name w:val="subsubsection"/>
    <w:link w:val="subsubsectionChar"/>
    <w:autoRedefine/>
    <w:rsid w:val="00D94C95"/>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D94C95"/>
    <w:pPr>
      <w:tabs>
        <w:tab w:val="clear" w:pos="567"/>
        <w:tab w:val="center" w:pos="4820"/>
        <w:tab w:val="right" w:pos="9072"/>
      </w:tabs>
      <w:spacing w:before="120" w:after="120"/>
      <w:jc w:val="center"/>
    </w:pPr>
    <w:rPr>
      <w:lang w:val="en-US"/>
    </w:rPr>
  </w:style>
  <w:style w:type="paragraph" w:customStyle="1" w:styleId="Centred">
    <w:name w:val="Centred"/>
    <w:autoRedefine/>
    <w:rsid w:val="00D94C95"/>
    <w:pPr>
      <w:jc w:val="center"/>
    </w:pPr>
    <w:rPr>
      <w:rFonts w:ascii="Times" w:hAnsi="Times"/>
      <w:sz w:val="22"/>
      <w:lang w:eastAsia="en-US"/>
    </w:rPr>
  </w:style>
  <w:style w:type="paragraph" w:customStyle="1" w:styleId="BulletedIndent">
    <w:name w:val="Bulleted.Indent"/>
    <w:autoRedefine/>
    <w:rsid w:val="00D94C95"/>
    <w:pPr>
      <w:ind w:left="28"/>
      <w:jc w:val="both"/>
    </w:pPr>
    <w:rPr>
      <w:rFonts w:ascii="Times" w:hAnsi="Times"/>
      <w:sz w:val="22"/>
      <w:lang w:val="en-US" w:eastAsia="en-US"/>
    </w:rPr>
  </w:style>
  <w:style w:type="character" w:customStyle="1" w:styleId="BodyCharChar">
    <w:name w:val="Body Char Char"/>
    <w:link w:val="BodyChar"/>
    <w:rsid w:val="00D94C95"/>
    <w:rPr>
      <w:rFonts w:ascii="Times" w:hAnsi="Times"/>
      <w:color w:val="000000"/>
      <w:sz w:val="22"/>
      <w:szCs w:val="22"/>
      <w:lang w:val="en-GB" w:eastAsia="en-US" w:bidi="ar-SA"/>
    </w:rPr>
  </w:style>
  <w:style w:type="paragraph" w:customStyle="1" w:styleId="StyleTitleLeft005cm">
    <w:name w:val="Style Title + Left:  0.05 cm"/>
    <w:basedOn w:val="Title"/>
    <w:rsid w:val="00D94C95"/>
    <w:rPr>
      <w:bCs/>
      <w:szCs w:val="20"/>
    </w:rPr>
  </w:style>
  <w:style w:type="paragraph" w:customStyle="1" w:styleId="Abstract">
    <w:name w:val="Abstract"/>
    <w:rsid w:val="00D94C95"/>
    <w:pPr>
      <w:spacing w:after="454"/>
      <w:ind w:left="1418"/>
      <w:jc w:val="both"/>
    </w:pPr>
    <w:rPr>
      <w:rFonts w:ascii="Times" w:hAnsi="Times"/>
      <w:color w:val="000000"/>
      <w:lang w:eastAsia="en-US"/>
    </w:rPr>
  </w:style>
  <w:style w:type="paragraph" w:styleId="BalloonText">
    <w:name w:val="Balloon Text"/>
    <w:basedOn w:val="Normal"/>
    <w:semiHidden/>
    <w:rsid w:val="00D94C95"/>
    <w:rPr>
      <w:rFonts w:ascii="Tahoma" w:hAnsi="Tahoma" w:cs="Tahoma"/>
      <w:sz w:val="16"/>
      <w:szCs w:val="16"/>
    </w:rPr>
  </w:style>
  <w:style w:type="paragraph" w:customStyle="1" w:styleId="FigureCaption">
    <w:name w:val="FigureCaption"/>
    <w:rsid w:val="00D94C95"/>
    <w:pPr>
      <w:spacing w:before="170"/>
      <w:ind w:left="28"/>
      <w:jc w:val="center"/>
    </w:pPr>
    <w:rPr>
      <w:rFonts w:ascii="Times" w:hAnsi="Times"/>
      <w:color w:val="000000"/>
      <w:sz w:val="22"/>
      <w:szCs w:val="22"/>
      <w:lang w:eastAsia="en-US"/>
    </w:rPr>
  </w:style>
  <w:style w:type="character" w:customStyle="1" w:styleId="sectionChar">
    <w:name w:val="section Char"/>
    <w:link w:val="section"/>
    <w:rsid w:val="00D94C95"/>
    <w:rPr>
      <w:rFonts w:ascii="Times" w:hAnsi="Times"/>
      <w:b/>
      <w:color w:val="000000"/>
      <w:sz w:val="22"/>
      <w:szCs w:val="22"/>
      <w:lang w:eastAsia="en-US"/>
    </w:rPr>
  </w:style>
  <w:style w:type="character" w:customStyle="1" w:styleId="FormatNotes">
    <w:name w:val="FormatNotes"/>
    <w:rsid w:val="00D94C95"/>
    <w:rPr>
      <w:rFonts w:ascii="Times" w:hAnsi="Times"/>
      <w:color w:val="FF6600"/>
      <w:sz w:val="20"/>
      <w:szCs w:val="20"/>
      <w:lang w:val="en-GB"/>
    </w:rPr>
  </w:style>
  <w:style w:type="paragraph" w:customStyle="1" w:styleId="BulletedL2">
    <w:name w:val="BulletedL2"/>
    <w:basedOn w:val="Bulleted"/>
    <w:autoRedefine/>
    <w:rsid w:val="00D94C95"/>
    <w:pPr>
      <w:ind w:left="851"/>
    </w:pPr>
  </w:style>
  <w:style w:type="paragraph" w:customStyle="1" w:styleId="Authors">
    <w:name w:val="Authors"/>
    <w:rsid w:val="00D94C95"/>
    <w:pPr>
      <w:spacing w:after="113"/>
      <w:ind w:left="1418"/>
    </w:pPr>
    <w:rPr>
      <w:rFonts w:ascii="Times" w:hAnsi="Times"/>
      <w:b/>
      <w:sz w:val="22"/>
      <w:szCs w:val="22"/>
      <w:lang w:eastAsia="en-US"/>
    </w:rPr>
  </w:style>
  <w:style w:type="paragraph" w:customStyle="1" w:styleId="Addresses">
    <w:name w:val="Addresses"/>
    <w:autoRedefine/>
    <w:rsid w:val="00D94C95"/>
    <w:pPr>
      <w:spacing w:after="454"/>
      <w:ind w:left="1418"/>
    </w:pPr>
    <w:rPr>
      <w:sz w:val="22"/>
      <w:szCs w:val="22"/>
      <w:lang w:eastAsia="en-US"/>
    </w:rPr>
  </w:style>
  <w:style w:type="paragraph" w:customStyle="1" w:styleId="25mmIndent">
    <w:name w:val="25mmIndent"/>
    <w:rsid w:val="00D94C95"/>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D94C95"/>
    <w:pPr>
      <w:numPr>
        <w:numId w:val="14"/>
      </w:numPr>
    </w:pPr>
  </w:style>
  <w:style w:type="paragraph" w:customStyle="1" w:styleId="Numbered">
    <w:name w:val="Numbered"/>
    <w:autoRedefine/>
    <w:rsid w:val="00D94C95"/>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D94C95"/>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D94C95"/>
    <w:pPr>
      <w:jc w:val="center"/>
    </w:pPr>
  </w:style>
  <w:style w:type="character" w:customStyle="1" w:styleId="times1">
    <w:name w:val="times1"/>
    <w:rsid w:val="00D94C95"/>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D94C95"/>
    <w:rPr>
      <w:i w:val="0"/>
      <w:szCs w:val="20"/>
    </w:rPr>
  </w:style>
  <w:style w:type="paragraph" w:customStyle="1" w:styleId="StylesubsubsectionNotItalic">
    <w:name w:val="Style subsubsection + Not Italic"/>
    <w:basedOn w:val="subsubsection"/>
    <w:rsid w:val="00D94C95"/>
    <w:rPr>
      <w:i w:val="0"/>
      <w:iCs w:val="0"/>
    </w:rPr>
  </w:style>
  <w:style w:type="character" w:styleId="CommentReference">
    <w:name w:val="annotation reference"/>
    <w:semiHidden/>
    <w:rsid w:val="00D94C95"/>
    <w:rPr>
      <w:sz w:val="16"/>
      <w:szCs w:val="16"/>
    </w:rPr>
  </w:style>
  <w:style w:type="paragraph" w:styleId="CommentText">
    <w:name w:val="annotation text"/>
    <w:basedOn w:val="Normal"/>
    <w:semiHidden/>
    <w:rsid w:val="00D94C95"/>
    <w:rPr>
      <w:sz w:val="20"/>
    </w:rPr>
  </w:style>
  <w:style w:type="paragraph" w:styleId="CommentSubject">
    <w:name w:val="annotation subject"/>
    <w:basedOn w:val="CommentText"/>
    <w:next w:val="CommentText"/>
    <w:semiHidden/>
    <w:rsid w:val="00D94C95"/>
    <w:rPr>
      <w:b/>
      <w:bCs/>
    </w:rPr>
  </w:style>
  <w:style w:type="paragraph" w:customStyle="1" w:styleId="StylesubsubsectionNotItalic1Char">
    <w:name w:val="Style subsubsection + Not Italic1 Char"/>
    <w:basedOn w:val="subsubsection"/>
    <w:link w:val="StylesubsubsectionNotItalic1CharChar"/>
    <w:autoRedefine/>
    <w:rsid w:val="00D94C95"/>
    <w:rPr>
      <w:i w:val="0"/>
      <w:iCs w:val="0"/>
    </w:rPr>
  </w:style>
  <w:style w:type="character" w:customStyle="1" w:styleId="subsubsectionChar">
    <w:name w:val="subsubsection Char"/>
    <w:link w:val="subsubsection"/>
    <w:rsid w:val="00D94C95"/>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D94C95"/>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D94C95"/>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D94C95"/>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D94C95"/>
    <w:pPr>
      <w:numPr>
        <w:numId w:val="17"/>
      </w:numPr>
      <w:spacing w:before="0"/>
    </w:pPr>
    <w:rPr>
      <w:bCs/>
      <w:szCs w:val="20"/>
    </w:rPr>
  </w:style>
  <w:style w:type="paragraph" w:customStyle="1" w:styleId="Reference">
    <w:name w:val="Reference"/>
    <w:rsid w:val="00D94C95"/>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D94C95"/>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TableParagraph">
    <w:name w:val="Table Paragraph"/>
    <w:basedOn w:val="Normal"/>
    <w:uiPriority w:val="1"/>
    <w:qFormat/>
    <w:rsid w:val="00431178"/>
    <w:pPr>
      <w:widowControl w:val="0"/>
      <w:autoSpaceDE w:val="0"/>
      <w:autoSpaceDN w:val="0"/>
      <w:spacing w:before="80"/>
      <w:ind w:left="120"/>
    </w:pPr>
    <w:rPr>
      <w:rFonts w:ascii="DejaVu Sans" w:eastAsia="DejaVu Sans" w:hAnsi="DejaVu Sans" w:cs="DejaVu Sans"/>
      <w:szCs w:val="22"/>
      <w:lang w:val="en-US"/>
    </w:rPr>
  </w:style>
  <w:style w:type="paragraph" w:customStyle="1" w:styleId="Default">
    <w:name w:val="Default"/>
    <w:rsid w:val="0039456A"/>
    <w:pPr>
      <w:autoSpaceDE w:val="0"/>
      <w:autoSpaceDN w:val="0"/>
      <w:adjustRightInd w:val="0"/>
    </w:pPr>
    <w:rPr>
      <w:color w:val="000000"/>
      <w:sz w:val="24"/>
      <w:szCs w:val="24"/>
      <w:lang w:val="en-IN"/>
    </w:rPr>
  </w:style>
  <w:style w:type="character" w:customStyle="1" w:styleId="UnresolvedMention">
    <w:name w:val="Unresolved Mention"/>
    <w:basedOn w:val="DefaultParagraphFont"/>
    <w:uiPriority w:val="99"/>
    <w:semiHidden/>
    <w:unhideWhenUsed/>
    <w:rsid w:val="00C8568C"/>
    <w:rPr>
      <w:color w:val="605E5C"/>
      <w:shd w:val="clear" w:color="auto" w:fill="E1DFDD"/>
    </w:rPr>
  </w:style>
  <w:style w:type="table" w:customStyle="1" w:styleId="GridTableLight">
    <w:name w:val="Grid Table Light"/>
    <w:basedOn w:val="TableNormal"/>
    <w:uiPriority w:val="40"/>
    <w:rsid w:val="003A115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4">
    <w:name w:val="Grid Table 4"/>
    <w:basedOn w:val="TableNormal"/>
    <w:uiPriority w:val="49"/>
    <w:rsid w:val="003A1152"/>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3A115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1"/>
    <w:qFormat/>
    <w:rsid w:val="000E30A0"/>
    <w:pPr>
      <w:widowControl w:val="0"/>
      <w:autoSpaceDE w:val="0"/>
      <w:autoSpaceDN w:val="0"/>
      <w:ind w:left="639" w:hanging="240"/>
    </w:pPr>
    <w:rPr>
      <w:rFonts w:ascii="Times New Roman" w:hAnsi="Times New Roman"/>
      <w:szCs w:val="22"/>
      <w:lang w:val="en-US"/>
    </w:rPr>
  </w:style>
</w:styles>
</file>

<file path=word/webSettings.xml><?xml version="1.0" encoding="utf-8"?>
<w:webSettings xmlns:r="http://schemas.openxmlformats.org/officeDocument/2006/relationships" xmlns:w="http://schemas.openxmlformats.org/wordprocessingml/2006/main">
  <w:divs>
    <w:div w:id="763108538">
      <w:bodyDiv w:val="1"/>
      <w:marLeft w:val="0"/>
      <w:marRight w:val="0"/>
      <w:marTop w:val="0"/>
      <w:marBottom w:val="0"/>
      <w:divBdr>
        <w:top w:val="none" w:sz="0" w:space="0" w:color="auto"/>
        <w:left w:val="none" w:sz="0" w:space="0" w:color="auto"/>
        <w:bottom w:val="none" w:sz="0" w:space="0" w:color="auto"/>
        <w:right w:val="none" w:sz="0" w:space="0" w:color="auto"/>
      </w:divBdr>
    </w:div>
    <w:div w:id="1205366121">
      <w:bodyDiv w:val="1"/>
      <w:marLeft w:val="0"/>
      <w:marRight w:val="0"/>
      <w:marTop w:val="0"/>
      <w:marBottom w:val="0"/>
      <w:divBdr>
        <w:top w:val="none" w:sz="0" w:space="0" w:color="auto"/>
        <w:left w:val="none" w:sz="0" w:space="0" w:color="auto"/>
        <w:bottom w:val="none" w:sz="0" w:space="0" w:color="auto"/>
        <w:right w:val="none" w:sz="0" w:space="0" w:color="auto"/>
      </w:divBdr>
    </w:div>
    <w:div w:id="17529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uildingsdatabook.eren.do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dkeaviraj@gmail.com" TargetMode="External"/><Relationship Id="rId12" Type="http://schemas.openxmlformats.org/officeDocument/2006/relationships/hyperlink" Target="http://buildingsdatabook.eren.doe/" TargetMode="External"/><Relationship Id="rId17" Type="http://schemas.openxmlformats.org/officeDocument/2006/relationships/hyperlink" Target="http://fimsinfo.doe.gov/Work-" TargetMode="Externa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a.gov/consumption/" TargetMode="Externa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energystar.go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rkondawar@outlook.com</cp:lastModifiedBy>
  <cp:revision>3</cp:revision>
  <cp:lastPrinted>2021-10-01T05:14:00Z</cp:lastPrinted>
  <dcterms:created xsi:type="dcterms:W3CDTF">2021-11-29T17:42:00Z</dcterms:created>
  <dcterms:modified xsi:type="dcterms:W3CDTF">2021-11-29T17:47:00Z</dcterms:modified>
</cp:coreProperties>
</file>