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EEAC2" w14:textId="77777777" w:rsidR="00FD2AB3" w:rsidRPr="00210857" w:rsidRDefault="00FD2AB3" w:rsidP="00210857">
      <w:pPr>
        <w:spacing w:before="100" w:beforeAutospacing="1" w:after="100" w:afterAutospacing="1"/>
        <w:rPr>
          <w:b/>
          <w:sz w:val="46"/>
          <w:szCs w:val="46"/>
        </w:rPr>
      </w:pPr>
      <w:bookmarkStart w:id="0" w:name="_GoBack"/>
      <w:bookmarkEnd w:id="0"/>
      <w:r w:rsidRPr="00210857">
        <w:rPr>
          <w:b/>
          <w:sz w:val="46"/>
          <w:szCs w:val="46"/>
        </w:rPr>
        <w:t>Advancing Sustainable Energy Solutions: A Study on Solar-Powered Arduino-Based Mobile Charging Stations</w:t>
      </w:r>
    </w:p>
    <w:p w14:paraId="2912CDE9" w14:textId="77777777" w:rsidR="00DE65F1" w:rsidRDefault="00210857" w:rsidP="00210857">
      <w:pPr>
        <w:pStyle w:val="Author"/>
        <w:spacing w:before="0" w:after="0" w:line="276" w:lineRule="auto"/>
        <w:rPr>
          <w:b/>
          <w:sz w:val="24"/>
          <w:szCs w:val="24"/>
        </w:rPr>
      </w:pPr>
      <w:r w:rsidRPr="00210857">
        <w:rPr>
          <w:b/>
          <w:sz w:val="24"/>
          <w:szCs w:val="24"/>
        </w:rPr>
        <w:t xml:space="preserve">Bharat Pande, Sayali Ther, Anukul Ghosh, Prachiti Kinarkar, Rutika Wankhede, </w:t>
      </w:r>
    </w:p>
    <w:p w14:paraId="360CBC5B" w14:textId="51721E03" w:rsidR="00210857" w:rsidRPr="00210857" w:rsidRDefault="00210857" w:rsidP="00210857">
      <w:pPr>
        <w:pStyle w:val="Author"/>
        <w:spacing w:before="0" w:after="0" w:line="276" w:lineRule="auto"/>
        <w:rPr>
          <w:b/>
          <w:sz w:val="24"/>
          <w:szCs w:val="24"/>
        </w:rPr>
      </w:pPr>
      <w:r w:rsidRPr="00210857">
        <w:rPr>
          <w:b/>
          <w:sz w:val="24"/>
          <w:szCs w:val="24"/>
        </w:rPr>
        <w:t>Nimish Gotmare</w:t>
      </w:r>
    </w:p>
    <w:p w14:paraId="5F1B066D" w14:textId="77777777" w:rsidR="00210857" w:rsidRDefault="00210857" w:rsidP="00210857">
      <w:pPr>
        <w:pStyle w:val="Author"/>
        <w:spacing w:before="0" w:after="0" w:line="276" w:lineRule="auto"/>
        <w:rPr>
          <w:sz w:val="18"/>
          <w:szCs w:val="18"/>
        </w:rPr>
      </w:pPr>
    </w:p>
    <w:p w14:paraId="4AB80D98" w14:textId="77777777" w:rsidR="00210857" w:rsidRDefault="00210857" w:rsidP="00210857">
      <w:pPr>
        <w:pStyle w:val="Author"/>
        <w:spacing w:before="0" w:after="0"/>
        <w:rPr>
          <w:b/>
          <w:i/>
          <w:sz w:val="20"/>
          <w:szCs w:val="18"/>
        </w:rPr>
      </w:pPr>
      <w:r w:rsidRPr="00210857">
        <w:rPr>
          <w:i/>
          <w:sz w:val="20"/>
          <w:szCs w:val="18"/>
        </w:rPr>
        <w:t>Electrical Engineering Department</w:t>
      </w:r>
      <w:r w:rsidRPr="00210857">
        <w:rPr>
          <w:i/>
          <w:sz w:val="20"/>
          <w:szCs w:val="18"/>
        </w:rPr>
        <w:br/>
        <w:t>Government College of Engineering Nagpur, Maharashtra, India</w:t>
      </w:r>
      <w:r w:rsidRPr="00210857">
        <w:rPr>
          <w:i/>
          <w:sz w:val="20"/>
          <w:szCs w:val="18"/>
        </w:rPr>
        <w:br/>
      </w:r>
    </w:p>
    <w:p w14:paraId="637FA18C" w14:textId="11EE66F3" w:rsidR="00210857" w:rsidRPr="00210857" w:rsidRDefault="00210857" w:rsidP="00210857">
      <w:pPr>
        <w:pStyle w:val="Author"/>
        <w:spacing w:before="0" w:after="0"/>
        <w:rPr>
          <w:b/>
          <w:sz w:val="18"/>
          <w:szCs w:val="18"/>
        </w:rPr>
      </w:pPr>
      <w:r w:rsidRPr="00210857">
        <w:rPr>
          <w:b/>
          <w:i/>
          <w:sz w:val="20"/>
          <w:szCs w:val="18"/>
        </w:rPr>
        <w:t>bharatpandexc@gmail.com</w:t>
      </w:r>
    </w:p>
    <w:p w14:paraId="2AD25E7D" w14:textId="77777777" w:rsidR="00210857" w:rsidRDefault="00210857" w:rsidP="00210857">
      <w:pPr>
        <w:pStyle w:val="Author"/>
        <w:spacing w:before="0" w:after="0" w:line="276" w:lineRule="auto"/>
        <w:rPr>
          <w:sz w:val="20"/>
          <w:szCs w:val="16"/>
        </w:rPr>
      </w:pPr>
    </w:p>
    <w:p w14:paraId="6579AA46" w14:textId="172E2E74" w:rsidR="00DE65F1" w:rsidRPr="00210857" w:rsidRDefault="00073B1B" w:rsidP="00210857">
      <w:pPr>
        <w:pStyle w:val="Author"/>
        <w:spacing w:before="0" w:after="0" w:line="276" w:lineRule="auto"/>
        <w:rPr>
          <w:sz w:val="20"/>
          <w:szCs w:val="16"/>
        </w:rPr>
        <w:sectPr w:rsidR="00DE65F1" w:rsidRPr="00210857" w:rsidSect="00DE65F1">
          <w:headerReference w:type="default" r:id="rId9"/>
          <w:footerReference w:type="default" r:id="rId10"/>
          <w:headerReference w:type="first" r:id="rId11"/>
          <w:footerReference w:type="first" r:id="rId12"/>
          <w:pgSz w:w="11906" w:h="16838" w:code="9"/>
          <w:pgMar w:top="540" w:right="893" w:bottom="1440" w:left="893" w:header="720" w:footer="720" w:gutter="0"/>
          <w:pgNumType w:start="13"/>
          <w:cols w:space="720"/>
          <w:titlePg/>
          <w:docGrid w:linePitch="360"/>
        </w:sectPr>
      </w:pPr>
      <w:r w:rsidRPr="00C26237">
        <w:rPr>
          <w:b/>
          <w:i/>
          <w:sz w:val="20"/>
          <w:szCs w:val="20"/>
        </w:rPr>
        <w:t>Received on</w:t>
      </w:r>
      <w:r>
        <w:rPr>
          <w:i/>
          <w:sz w:val="20"/>
          <w:szCs w:val="20"/>
        </w:rPr>
        <w:t xml:space="preserve">: 20 August, 2024                          </w:t>
      </w:r>
      <w:r w:rsidRPr="00C26237">
        <w:rPr>
          <w:b/>
          <w:i/>
          <w:sz w:val="20"/>
          <w:szCs w:val="20"/>
        </w:rPr>
        <w:t>Revised on</w:t>
      </w:r>
      <w:r>
        <w:rPr>
          <w:i/>
          <w:sz w:val="20"/>
          <w:szCs w:val="20"/>
        </w:rPr>
        <w:t>: 27</w:t>
      </w:r>
      <w:r w:rsidR="0022264D">
        <w:rPr>
          <w:i/>
          <w:sz w:val="20"/>
          <w:szCs w:val="20"/>
        </w:rPr>
        <w:t xml:space="preserve"> </w:t>
      </w:r>
      <w:r>
        <w:rPr>
          <w:i/>
          <w:sz w:val="20"/>
          <w:szCs w:val="20"/>
        </w:rPr>
        <w:t xml:space="preserve">September. 2024                    </w:t>
      </w:r>
      <w:r w:rsidRPr="00C26237">
        <w:rPr>
          <w:b/>
          <w:i/>
          <w:sz w:val="20"/>
          <w:szCs w:val="20"/>
        </w:rPr>
        <w:t>Published on</w:t>
      </w:r>
      <w:r>
        <w:rPr>
          <w:i/>
          <w:sz w:val="20"/>
          <w:szCs w:val="20"/>
        </w:rPr>
        <w:t>: 29 September 2024</w:t>
      </w:r>
    </w:p>
    <w:p w14:paraId="7D694DA2"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lastRenderedPageBreak/>
        <w:br w:type="column"/>
      </w:r>
    </w:p>
    <w:p w14:paraId="38C2F12D" w14:textId="77777777" w:rsidR="00FD2AB3" w:rsidRPr="00DE65F1" w:rsidRDefault="009303D9" w:rsidP="00DE65F1">
      <w:pPr>
        <w:pStyle w:val="Abstract"/>
        <w:ind w:firstLine="0"/>
        <w:rPr>
          <w:rFonts w:eastAsia="Roboto Mono"/>
          <w:b w:val="0"/>
          <w:i/>
          <w:sz w:val="20"/>
          <w:szCs w:val="20"/>
        </w:rPr>
      </w:pPr>
      <w:r>
        <w:rPr>
          <w:i/>
          <w:iCs/>
        </w:rPr>
        <w:lastRenderedPageBreak/>
        <w:t>Abstract</w:t>
      </w:r>
      <w:r>
        <w:t>—</w:t>
      </w:r>
      <w:r w:rsidR="005B0344" w:rsidRPr="005B0344">
        <w:t xml:space="preserve"> </w:t>
      </w:r>
      <w:proofErr w:type="gramStart"/>
      <w:r w:rsidR="00FD2AB3" w:rsidRPr="00DE65F1">
        <w:rPr>
          <w:rFonts w:eastAsia="Roboto Mono"/>
          <w:b w:val="0"/>
          <w:i/>
          <w:sz w:val="20"/>
          <w:szCs w:val="20"/>
        </w:rPr>
        <w:t>This</w:t>
      </w:r>
      <w:proofErr w:type="gramEnd"/>
      <w:r w:rsidR="00FD2AB3" w:rsidRPr="00DE65F1">
        <w:rPr>
          <w:rFonts w:eastAsia="Roboto Mono"/>
          <w:b w:val="0"/>
          <w:i/>
          <w:sz w:val="20"/>
          <w:szCs w:val="20"/>
        </w:rPr>
        <w:t xml:space="preserve"> research investigates the feasibility and effectiveness of solar-powered/mobile charging stations as sustainable energy solutions. With a multifaceted approach, the study examines both technical performance metrics and user satisfaction feedback to comprehensively evaluate the viability of these stations. Technical analyses focus on assessing the reliability and efficiency of energy generation, considering factors such as average daily output and conversion efficiency of solar panels. Concurrently, user surveys provide insights into the practical aspects of charging stations, including availability, convenience, and overall satisfaction with the charging experience. By synthesizing these findings, the research aims to provide a nuanced understanding of the potential and limitations of solar-powered/mobile charging stations in meeting modern charging needs. The outcomes of this study hold implications for various stakeholders, including policymakers, urban planners, and renewable energy advocates, seeking to promote sustainable energy infrastructure and reduce reliance on fossil fuels. By highlighting the benefits of solar-powered/mobile charging stations in enhancing energy access, reducing carbon emissions, and fostering environmental sustainability, this research contributes to the broader discourse on renewable energy adoption and reinforces the importance of integrating renewable energy solutions into everyday infrastructure</w:t>
      </w:r>
    </w:p>
    <w:p w14:paraId="28624E24" w14:textId="300C3B6E" w:rsidR="009303D9" w:rsidRPr="00DE65F1" w:rsidRDefault="004D72B5" w:rsidP="00DE65F1">
      <w:pPr>
        <w:pStyle w:val="Abstract"/>
        <w:ind w:firstLine="0"/>
        <w:rPr>
          <w:i/>
        </w:rPr>
      </w:pPr>
      <w:proofErr w:type="gramStart"/>
      <w:r w:rsidRPr="00DE65F1">
        <w:rPr>
          <w:i/>
        </w:rPr>
        <w:t>Keywords—</w:t>
      </w:r>
      <w:r w:rsidR="00FD2AB3" w:rsidRPr="00DE65F1">
        <w:rPr>
          <w:i/>
        </w:rPr>
        <w:t xml:space="preserve"> Solar-powered charging stations, mobile charging infrastructure, sustainable energy solutions, technical performance evaluation, user satisfaction analysis</w:t>
      </w:r>
      <w:r w:rsidR="002C04B2" w:rsidRPr="00DE65F1">
        <w:rPr>
          <w:i/>
        </w:rPr>
        <w:t>.</w:t>
      </w:r>
      <w:proofErr w:type="gramEnd"/>
    </w:p>
    <w:p w14:paraId="5E5C9657" w14:textId="60E24B59" w:rsidR="009303D9" w:rsidRPr="00D632BE" w:rsidRDefault="009303D9" w:rsidP="006B6B66">
      <w:pPr>
        <w:pStyle w:val="Heading1"/>
      </w:pPr>
      <w:r w:rsidRPr="00D632BE">
        <w:t>Introduction</w:t>
      </w:r>
      <w:r w:rsidR="005B0344" w:rsidRPr="00EA506F">
        <w:rPr>
          <w:rFonts w:eastAsia="MS Mincho"/>
          <w:i/>
        </w:rPr>
        <w:t xml:space="preserve"> </w:t>
      </w:r>
    </w:p>
    <w:p w14:paraId="618D7F0F" w14:textId="77777777" w:rsidR="00FD2AB3" w:rsidRDefault="00FD2AB3" w:rsidP="00DE65F1">
      <w:pPr>
        <w:pStyle w:val="BodyText"/>
        <w:ind w:firstLine="0"/>
      </w:pPr>
      <w:r w:rsidRPr="00DE65F1">
        <w:rPr>
          <w:b/>
          <w:sz w:val="46"/>
          <w:szCs w:val="46"/>
        </w:rPr>
        <w:t>I</w:t>
      </w:r>
      <w:r>
        <w:t xml:space="preserve">n recent years, the proliferation of mobile devices has become ubiquitous, revolutionizing communication, access to information, and daily interactions worldwide. However, the widespread use of mobile devices has also led to a growing demand for accessible and reliable charging </w:t>
      </w:r>
      <w:r>
        <w:lastRenderedPageBreak/>
        <w:t>infrastructure, particularly in urban centres, public spaces, and off-grid locations. Addressing this demand while promoting sustainability and environmental stewardship has prompted the development of innovative solutions, including solar-powered cell phone powering stations.</w:t>
      </w:r>
    </w:p>
    <w:p w14:paraId="0C505565" w14:textId="77777777" w:rsidR="00FD2AB3" w:rsidRDefault="00FD2AB3" w:rsidP="00FD2AB3">
      <w:pPr>
        <w:pStyle w:val="BodyText"/>
      </w:pPr>
      <w:r>
        <w:t>The concept of solar-powered charging stations leverages renewable energy technologies to provide clean and sustainable power for charging mobile devices. By harnessing the abundant energy from sunlight, these stations offer an eco-friendly alternative to conventional grid-powered charging infrastructure, reducing reliance on fossil fuels and mitigating carbon emissions. Moreover, solar-powered charging stations contribute to energy resilience, particularly in areas with limited access to electricity or prone to power outages.</w:t>
      </w:r>
    </w:p>
    <w:p w14:paraId="00E8A93C" w14:textId="77777777" w:rsidR="00FD2AB3" w:rsidRDefault="00FD2AB3" w:rsidP="00FD2AB3">
      <w:pPr>
        <w:pStyle w:val="BodyText"/>
      </w:pPr>
      <w:r>
        <w:t>This research paper aims to investigate the implementation and performance evaluation of a solar-powered cell phone powering station, focusing on key metrics such as solar energy generation, carbon emission reduction, charging capacity, environmental impact, cost savings, and user satisfaction. Through a comprehensive analysis of experimental data and calculations, the study seeks to assess the effectiveness, viability, and sustainability of solar-powered charging solutions in meeting the changing needs of mobile device users while promoting environmental conservation and energy efficiency.</w:t>
      </w:r>
    </w:p>
    <w:p w14:paraId="78B11658" w14:textId="77777777" w:rsidR="00FD2AB3" w:rsidRDefault="00FD2AB3" w:rsidP="00FD2AB3">
      <w:pPr>
        <w:pStyle w:val="BodyText"/>
      </w:pPr>
      <w:r>
        <w:t>The significance of this research lies in its potential to contribute to the advancement of sustainable energy solutions and address the growing demand for mobile charging infrastructure in an environmentally responsible manner. By evaluating the performance and impact of solar-powered charging stations, valuable insights can be gained into their feasibility, scalability, and potential for widespread adoption in diverse settings, ranging from urban centres to remote and off-grid locations.</w:t>
      </w:r>
    </w:p>
    <w:p w14:paraId="3CB32CF9" w14:textId="77777777" w:rsidR="00FD2AB3" w:rsidRDefault="00FD2AB3" w:rsidP="00FD2AB3">
      <w:pPr>
        <w:pStyle w:val="BodyText"/>
      </w:pPr>
      <w:r>
        <w:t xml:space="preserve">Furthermore, this research aims to inform policymakers, urban planners, and stakeholders about the benefits and </w:t>
      </w:r>
      <w:r>
        <w:lastRenderedPageBreak/>
        <w:t>implications of integrating renewable energy technologies into charging infrastructure. By highlighting the economic, environmental, and social advantages of solar-powered charging stations, decision-makers can make informed decisions regarding investment in sustainable energy projects and initiatives.</w:t>
      </w:r>
    </w:p>
    <w:p w14:paraId="21006A97" w14:textId="40D12D57" w:rsidR="009303D9" w:rsidRPr="005B520E" w:rsidRDefault="00FD2AB3" w:rsidP="00FD2AB3">
      <w:pPr>
        <w:pStyle w:val="BodyText"/>
      </w:pPr>
      <w:r>
        <w:t>In summary, the investigation of solar-powered cell phone powering stations represents a critical step toward promoting energy sustainability, environmental resilience, and equitable access to charging infrastructure. Through empirical research and analysis, this study seeks to advance our understanding of renewable energy solutions and their role in shaping a more sustainable and resilient future for mobile device charging.</w:t>
      </w:r>
      <w:r w:rsidR="002C04B2">
        <w:t xml:space="preserve">. </w:t>
      </w:r>
    </w:p>
    <w:p w14:paraId="2805D44F" w14:textId="44AC925B" w:rsidR="009303D9" w:rsidRPr="00DE65F1" w:rsidRDefault="00FD2AB3" w:rsidP="006B6B66">
      <w:pPr>
        <w:pStyle w:val="Heading1"/>
        <w:rPr>
          <w:b/>
        </w:rPr>
      </w:pPr>
      <w:r w:rsidRPr="00DE65F1">
        <w:rPr>
          <w:b/>
        </w:rPr>
        <w:t>Literature Review</w:t>
      </w:r>
    </w:p>
    <w:p w14:paraId="341C017B" w14:textId="77777777" w:rsidR="00FD2AB3" w:rsidRPr="00E00657" w:rsidRDefault="00FD2AB3" w:rsidP="00FD2AB3">
      <w:pPr>
        <w:ind w:firstLine="357"/>
        <w:jc w:val="both"/>
        <w:rPr>
          <w:rFonts w:eastAsia="Roboto Mono"/>
        </w:rPr>
      </w:pPr>
      <w:r w:rsidRPr="00E00657">
        <w:rPr>
          <w:rFonts w:eastAsia="Roboto Mono"/>
        </w:rPr>
        <w:t>Mobile device charging infrastructure has undergone significant evolution in recent years, driven by advancements in technology and increasing demand for portable electronics. Traditionally, charging solutions relied heavily on grid-connected electricity, leading to concerns about energy consumption, environmental impact, and reliability, especially in off-grid and remote areas. In response to these challenges, researchers and practitioners have explored alternative approaches, including the integration of renewable energy sources such as solar power into mobile charging stations.</w:t>
      </w:r>
    </w:p>
    <w:p w14:paraId="3171AD9E" w14:textId="0F09DB88" w:rsidR="00FD2AB3" w:rsidRPr="00E00657" w:rsidRDefault="00FD2AB3" w:rsidP="00FD2AB3">
      <w:pPr>
        <w:ind w:firstLine="357"/>
        <w:jc w:val="both"/>
        <w:rPr>
          <w:rFonts w:eastAsia="Roboto Mono"/>
        </w:rPr>
      </w:pPr>
      <w:r w:rsidRPr="00E00657">
        <w:rPr>
          <w:rFonts w:eastAsia="Roboto Mono"/>
        </w:rPr>
        <w:t>The evolution of mobile device charging technologies has been marked by a shift towards sustainability and environmental responsibility. Early charging solutions relied primarily on grid-connected electricity, which often relied on fossil fuels and resulted in significant carbon emissions. However, with the increasing availability and affordability of renewable energy technologies, there has been a growing interest in utilizing solar power for mobile device charging. Solar-powered charging stations offer a clean, renewable, and reliable source of energy, making them an attractive solution for addressing the energy needs of mobile device users while minimizing environmental impact.</w:t>
      </w:r>
    </w:p>
    <w:p w14:paraId="711E4962" w14:textId="77777777" w:rsidR="00FD2AB3" w:rsidRPr="00E00657" w:rsidRDefault="00FD2AB3" w:rsidP="00FD2AB3">
      <w:pPr>
        <w:ind w:firstLine="357"/>
        <w:jc w:val="both"/>
        <w:rPr>
          <w:rFonts w:eastAsia="Roboto Mono"/>
        </w:rPr>
      </w:pPr>
      <w:r w:rsidRPr="00E00657">
        <w:rPr>
          <w:rFonts w:eastAsia="Roboto Mono"/>
        </w:rPr>
        <w:t xml:space="preserve">Research in the field of renewable energy integration has provided valuable insights into the feasibility and effectiveness of solar-powered charging stations. Several studies have investigated various aspects of solar energy generation, including solar panel efficiency, energy output, and optimization techniques. For example, research by Liu et al. (2019) explored the use of advanced photovoltaic technologies to enhance the efficiency and performance of solar panels, resulting in higher energy yields and improved charging capacity. Similarly, studies by Smith et al. (2020) and Gupta et al. (2021) focused on </w:t>
      </w:r>
      <w:r>
        <w:rPr>
          <w:rFonts w:eastAsia="Roboto Mono"/>
        </w:rPr>
        <w:t>optimizing</w:t>
      </w:r>
      <w:r w:rsidRPr="00E00657">
        <w:rPr>
          <w:rFonts w:eastAsia="Roboto Mono"/>
        </w:rPr>
        <w:t xml:space="preserve"> the design and configuration of solar-powered charging stations to </w:t>
      </w:r>
      <w:r>
        <w:rPr>
          <w:rFonts w:eastAsia="Roboto Mono"/>
        </w:rPr>
        <w:t>maximize</w:t>
      </w:r>
      <w:r w:rsidRPr="00E00657">
        <w:rPr>
          <w:rFonts w:eastAsia="Roboto Mono"/>
        </w:rPr>
        <w:t xml:space="preserve"> energy capture and storage, thereby increasing the reliability and effectiveness of the charging infrastructure.</w:t>
      </w:r>
    </w:p>
    <w:p w14:paraId="31F21D47" w14:textId="77777777" w:rsidR="00FD2AB3" w:rsidRPr="00E00657" w:rsidRDefault="00FD2AB3" w:rsidP="00FD2AB3">
      <w:pPr>
        <w:ind w:firstLine="357"/>
        <w:jc w:val="both"/>
        <w:rPr>
          <w:rFonts w:eastAsia="Roboto Mono"/>
        </w:rPr>
      </w:pPr>
      <w:r w:rsidRPr="00E00657">
        <w:rPr>
          <w:rFonts w:eastAsia="Roboto Mono"/>
        </w:rPr>
        <w:t xml:space="preserve">Previous studies have also examined the environmental impact of solar-powered charging stations compared to conventional grid-powered solutions. </w:t>
      </w:r>
      <w:r w:rsidRPr="00E00657">
        <w:rPr>
          <w:rFonts w:eastAsia="Roboto Mono"/>
        </w:rPr>
        <w:lastRenderedPageBreak/>
        <w:t>Research by Zhang et al. (2018) and Wang et al. (2020) evaluated the carbon emission reduction potential of solar energy and found that solar-powered charging stations significantly reduce greenhouse gas emissions compared to grid-connected charging infrastructure. These findings highlight the environmental benefits of solar energy adoption and underscore the importance of transitioning towards renewable energy sources for mobile device charging.</w:t>
      </w:r>
    </w:p>
    <w:p w14:paraId="4DA2D426" w14:textId="3059FD31" w:rsidR="00FD2AB3" w:rsidRDefault="00FD2AB3" w:rsidP="00FD2AB3">
      <w:pPr>
        <w:jc w:val="both"/>
        <w:rPr>
          <w:rFonts w:eastAsia="Roboto Mono"/>
        </w:rPr>
      </w:pPr>
      <w:r w:rsidRPr="00E00657">
        <w:rPr>
          <w:rFonts w:eastAsia="Roboto Mono"/>
        </w:rPr>
        <w:t>In addition to technical and environmental considerations, research has also explored the economic feasibility and cost-effectiveness of solar-powered charging stations. Studies by Li et al. (2017) and Rahman et al. (2019) conducted cost-benefit analyses of solar energy projects and found that solar-powered charging stations offer long-term cost savings and positive returns on investment. These economic evaluations provide valuable insights for policymakers, investors, and stakeholders interested in promoting sustainable energy solutions for mobile device charging infrastructure</w:t>
      </w:r>
    </w:p>
    <w:p w14:paraId="792586B4" w14:textId="25C5236D" w:rsidR="002D629C" w:rsidRPr="00DE65F1" w:rsidRDefault="00FD2AB3" w:rsidP="00523B9F">
      <w:pPr>
        <w:pStyle w:val="Heading1"/>
        <w:ind w:firstLine="0"/>
        <w:rPr>
          <w:b/>
        </w:rPr>
      </w:pPr>
      <w:r w:rsidRPr="00DE65F1">
        <w:rPr>
          <w:b/>
        </w:rPr>
        <w:t>Mehtedology</w:t>
      </w:r>
    </w:p>
    <w:p w14:paraId="6F7B7A44" w14:textId="77777777" w:rsidR="00FD2AB3" w:rsidRPr="00623C9D" w:rsidRDefault="00FD2AB3" w:rsidP="00FD2AB3">
      <w:pPr>
        <w:jc w:val="both"/>
        <w:rPr>
          <w:rFonts w:eastAsia="Roboto Mono"/>
        </w:rPr>
      </w:pPr>
      <w:r w:rsidRPr="00623C9D">
        <w:rPr>
          <w:rFonts w:eastAsia="Roboto Mono"/>
        </w:rPr>
        <w:t xml:space="preserve">Our methodology for exploring solar-powered </w:t>
      </w:r>
      <w:r>
        <w:rPr>
          <w:rFonts w:eastAsia="Roboto Mono"/>
        </w:rPr>
        <w:t>cell phone</w:t>
      </w:r>
      <w:r w:rsidRPr="00623C9D">
        <w:rPr>
          <w:rFonts w:eastAsia="Roboto Mono"/>
        </w:rPr>
        <w:t xml:space="preserve"> powering stations was rooted in creativity, adaptability, and hands-on experimentation. We initiated our journey with a collaborative brainstorming session aimed at generating innovative ideas, followed by iterative prototyping cycles to test and refine our designs based on user feedback and technical feasibility. Through a user-centric approach, we </w:t>
      </w:r>
      <w:r>
        <w:rPr>
          <w:rFonts w:eastAsia="Roboto Mono"/>
        </w:rPr>
        <w:t>prioritized</w:t>
      </w:r>
      <w:r w:rsidRPr="00623C9D">
        <w:rPr>
          <w:rFonts w:eastAsia="Roboto Mono"/>
        </w:rPr>
        <w:t xml:space="preserve"> the needs and preferences of end-users, ensuring that our charging station was intuitive and user-friendly. Embracing agile principles, we adapted and pivoted in response to changing requirements, while fostering a culture of collaboration and continuous learning throughout the development process. By combining creativity, adaptability, and collaboration, our methodology propelled us </w:t>
      </w:r>
      <w:r>
        <w:rPr>
          <w:rFonts w:eastAsia="Roboto Mono"/>
        </w:rPr>
        <w:t>toward</w:t>
      </w:r>
      <w:r w:rsidRPr="00623C9D">
        <w:rPr>
          <w:rFonts w:eastAsia="Roboto Mono"/>
        </w:rPr>
        <w:t xml:space="preserve"> innovative solutions and meaningful insights in the realm of solar-powered charging infrastructure.</w:t>
      </w:r>
      <w:r w:rsidRPr="00623C9D">
        <w:rPr>
          <w:rFonts w:eastAsia="Roboto Mono"/>
          <w:b/>
        </w:rPr>
        <w:tab/>
      </w:r>
    </w:p>
    <w:p w14:paraId="6F0E6EAC" w14:textId="77777777" w:rsidR="00FD2AB3" w:rsidRPr="00623C9D" w:rsidRDefault="00FD2AB3" w:rsidP="00FD2AB3">
      <w:pPr>
        <w:tabs>
          <w:tab w:val="left" w:pos="3876"/>
        </w:tabs>
        <w:jc w:val="both"/>
        <w:rPr>
          <w:rFonts w:eastAsia="Roboto Mono"/>
          <w:b/>
        </w:rPr>
      </w:pPr>
      <w:r w:rsidRPr="00623C9D">
        <w:rPr>
          <w:rFonts w:eastAsia="Times New Roman"/>
          <w:b/>
          <w:lang w:val="en-IN"/>
        </w:rPr>
        <w:t>Planning</w:t>
      </w:r>
      <w:r w:rsidRPr="00623C9D">
        <w:rPr>
          <w:rFonts w:eastAsia="Times New Roman"/>
          <w:lang w:val="en-IN"/>
        </w:rPr>
        <w:t>: Defined project objectives, outlining goals and purpose. Identified stakeholders, determining primary users and beneficiaries. Established requirements, including technical, environmental, and user considerations. Set a project timeline with milestones and deadlines</w:t>
      </w:r>
    </w:p>
    <w:p w14:paraId="17B8B2F3" w14:textId="77777777" w:rsidR="00FD2AB3" w:rsidRPr="00623C9D" w:rsidRDefault="00FD2AB3" w:rsidP="00FD2AB3">
      <w:pPr>
        <w:tabs>
          <w:tab w:val="left" w:pos="3876"/>
        </w:tabs>
        <w:jc w:val="both"/>
        <w:rPr>
          <w:rFonts w:eastAsia="Times New Roman"/>
          <w:lang w:val="en-IN"/>
        </w:rPr>
      </w:pPr>
      <w:r w:rsidRPr="00623C9D">
        <w:rPr>
          <w:rFonts w:eastAsia="Times New Roman"/>
          <w:b/>
          <w:lang w:val="en-IN"/>
        </w:rPr>
        <w:t>Component Selection</w:t>
      </w:r>
      <w:r w:rsidRPr="00623C9D">
        <w:rPr>
          <w:rFonts w:eastAsia="Times New Roman"/>
          <w:lang w:val="en-IN"/>
        </w:rPr>
        <w:t xml:space="preserve">: </w:t>
      </w:r>
      <w:r>
        <w:rPr>
          <w:rFonts w:eastAsia="Times New Roman"/>
          <w:lang w:val="en-IN"/>
        </w:rPr>
        <w:t>Choose</w:t>
      </w:r>
      <w:r w:rsidRPr="00623C9D">
        <w:rPr>
          <w:rFonts w:eastAsia="Times New Roman"/>
          <w:lang w:val="en-IN"/>
        </w:rPr>
        <w:t xml:space="preserve"> an appropriate solar panel based on power requirements, efficiency, and environmental conditions. Selected a rechargeable battery with sufficient capacity and suitable characteristics for energy storage. </w:t>
      </w:r>
      <w:r>
        <w:rPr>
          <w:rFonts w:eastAsia="Times New Roman"/>
          <w:lang w:val="en-IN"/>
        </w:rPr>
        <w:t>Choose</w:t>
      </w:r>
      <w:r w:rsidRPr="00623C9D">
        <w:rPr>
          <w:rFonts w:eastAsia="Times New Roman"/>
          <w:lang w:val="en-IN"/>
        </w:rPr>
        <w:t xml:space="preserve"> a compatible Arduino board with the necessary input/output pins. Selected a voltage regulator to ensure a stable power supply. Picked a USB charging module compatible with mobile devices.</w:t>
      </w:r>
    </w:p>
    <w:p w14:paraId="23B5CE80" w14:textId="77777777" w:rsidR="00FD2AB3" w:rsidRPr="00623C9D" w:rsidRDefault="00FD2AB3" w:rsidP="00FD2AB3">
      <w:pPr>
        <w:tabs>
          <w:tab w:val="left" w:pos="3876"/>
        </w:tabs>
        <w:jc w:val="both"/>
        <w:rPr>
          <w:rFonts w:eastAsia="Times New Roman"/>
          <w:lang w:val="en-IN"/>
        </w:rPr>
      </w:pPr>
      <w:r w:rsidRPr="00623C9D">
        <w:rPr>
          <w:rFonts w:eastAsia="Times New Roman"/>
          <w:b/>
          <w:lang w:val="en-IN"/>
        </w:rPr>
        <w:t>System Design and Implementation</w:t>
      </w:r>
      <w:r w:rsidRPr="00623C9D">
        <w:rPr>
          <w:rFonts w:eastAsia="Times New Roman"/>
          <w:lang w:val="en-IN"/>
        </w:rPr>
        <w:t xml:space="preserve">: Created a detailed schematic diagram illustrating connections between components. Assembled selected components according to the schematic design. Developed Arduino code to control charging, monitor battery status, and manage power </w:t>
      </w:r>
      <w:r w:rsidRPr="00623C9D">
        <w:rPr>
          <w:rFonts w:eastAsia="Times New Roman"/>
          <w:lang w:val="en-IN"/>
        </w:rPr>
        <w:lastRenderedPageBreak/>
        <w:t xml:space="preserve">distribution. Integrated hardware components and </w:t>
      </w:r>
      <w:r>
        <w:rPr>
          <w:rFonts w:eastAsia="Times New Roman"/>
          <w:lang w:val="en-IN"/>
        </w:rPr>
        <w:t>uploaded</w:t>
      </w:r>
      <w:r w:rsidRPr="00623C9D">
        <w:rPr>
          <w:rFonts w:eastAsia="Times New Roman"/>
          <w:lang w:val="en-IN"/>
        </w:rPr>
        <w:t xml:space="preserve"> software to the Arduino board.</w:t>
      </w:r>
    </w:p>
    <w:p w14:paraId="5C8CB372" w14:textId="77777777" w:rsidR="002F7291" w:rsidRDefault="002F7291" w:rsidP="00FD2AB3">
      <w:pPr>
        <w:tabs>
          <w:tab w:val="left" w:pos="3876"/>
        </w:tabs>
        <w:jc w:val="both"/>
        <w:rPr>
          <w:rFonts w:eastAsia="Times New Roman"/>
          <w:b/>
          <w:lang w:val="en-IN"/>
        </w:rPr>
      </w:pPr>
    </w:p>
    <w:p w14:paraId="10BFBD26" w14:textId="77777777" w:rsidR="00FD2AB3" w:rsidRPr="00623C9D" w:rsidRDefault="00FD2AB3" w:rsidP="00FD2AB3">
      <w:pPr>
        <w:tabs>
          <w:tab w:val="left" w:pos="3876"/>
        </w:tabs>
        <w:jc w:val="both"/>
        <w:rPr>
          <w:rFonts w:eastAsia="Times New Roman"/>
          <w:lang w:val="en-IN"/>
        </w:rPr>
      </w:pPr>
      <w:r w:rsidRPr="00623C9D">
        <w:rPr>
          <w:rFonts w:eastAsia="Times New Roman"/>
          <w:b/>
          <w:lang w:val="en-IN"/>
        </w:rPr>
        <w:t>Performance and Monitoring</w:t>
      </w:r>
      <w:r w:rsidRPr="00623C9D">
        <w:rPr>
          <w:rFonts w:eastAsia="Times New Roman"/>
          <w:lang w:val="en-IN"/>
        </w:rPr>
        <w:t xml:space="preserve">: Evaluated the solar panel's power output under different lighting conditions. Implemented a system to monitor battery charge </w:t>
      </w:r>
      <w:r>
        <w:rPr>
          <w:rFonts w:eastAsia="Times New Roman"/>
          <w:lang w:val="en-IN"/>
        </w:rPr>
        <w:t>levels</w:t>
      </w:r>
      <w:r w:rsidRPr="00623C9D">
        <w:rPr>
          <w:rFonts w:eastAsia="Times New Roman"/>
          <w:lang w:val="en-IN"/>
        </w:rPr>
        <w:t xml:space="preserve"> and log data for analysis. Verified the functionality of the charging setup by testing it with various mobile devices.</w:t>
      </w:r>
    </w:p>
    <w:p w14:paraId="7D9A1296" w14:textId="77777777" w:rsidR="002F7291" w:rsidRDefault="002F7291" w:rsidP="00FD2AB3">
      <w:pPr>
        <w:tabs>
          <w:tab w:val="left" w:pos="3876"/>
        </w:tabs>
        <w:jc w:val="both"/>
        <w:rPr>
          <w:rFonts w:eastAsia="Times New Roman"/>
          <w:b/>
          <w:lang w:val="en-IN"/>
        </w:rPr>
      </w:pPr>
    </w:p>
    <w:p w14:paraId="26C81A92" w14:textId="77777777" w:rsidR="00FD2AB3" w:rsidRPr="00623C9D" w:rsidRDefault="00FD2AB3" w:rsidP="00FD2AB3">
      <w:pPr>
        <w:tabs>
          <w:tab w:val="left" w:pos="3876"/>
        </w:tabs>
        <w:jc w:val="both"/>
        <w:rPr>
          <w:rFonts w:eastAsia="Times New Roman"/>
          <w:lang w:val="en-IN"/>
        </w:rPr>
      </w:pPr>
      <w:r w:rsidRPr="00623C9D">
        <w:rPr>
          <w:rFonts w:eastAsia="Times New Roman"/>
          <w:b/>
          <w:lang w:val="en-IN"/>
        </w:rPr>
        <w:t>Testing and Feedback</w:t>
      </w:r>
      <w:r w:rsidRPr="00623C9D">
        <w:rPr>
          <w:rFonts w:eastAsia="Times New Roman"/>
          <w:lang w:val="en-IN"/>
        </w:rPr>
        <w:t>: Conducted comprehensive testing of the entire system to ensure all components worked as intended. Collected feedback from potential users to identify usability issues or improvements. Made necessary adjustments to the system based on feedback and testing results.</w:t>
      </w:r>
    </w:p>
    <w:p w14:paraId="67950FD1" w14:textId="77777777" w:rsidR="002F7291" w:rsidRDefault="002F7291" w:rsidP="00FD2AB3">
      <w:pPr>
        <w:tabs>
          <w:tab w:val="left" w:pos="3876"/>
        </w:tabs>
        <w:jc w:val="both"/>
        <w:rPr>
          <w:rFonts w:eastAsia="Times New Roman"/>
          <w:b/>
          <w:lang w:val="en-IN"/>
        </w:rPr>
      </w:pPr>
    </w:p>
    <w:p w14:paraId="65B01C9E" w14:textId="77777777" w:rsidR="00FD2AB3" w:rsidRPr="00623C9D" w:rsidRDefault="00FD2AB3" w:rsidP="00FD2AB3">
      <w:pPr>
        <w:tabs>
          <w:tab w:val="left" w:pos="3876"/>
        </w:tabs>
        <w:jc w:val="both"/>
        <w:rPr>
          <w:rFonts w:eastAsia="Times New Roman"/>
          <w:lang w:val="en-IN"/>
        </w:rPr>
      </w:pPr>
      <w:r w:rsidRPr="00623C9D">
        <w:rPr>
          <w:rFonts w:eastAsia="Times New Roman"/>
          <w:b/>
          <w:lang w:val="en-IN"/>
        </w:rPr>
        <w:t>Evaluation and Assessment</w:t>
      </w:r>
      <w:r w:rsidRPr="00623C9D">
        <w:rPr>
          <w:rFonts w:eastAsia="Times New Roman"/>
          <w:lang w:val="en-IN"/>
        </w:rPr>
        <w:t>: Evaluated the efficiency of the solar-powered setup by comparing energy input and output. Assessed the system's reliability under different environmental conditions. Conducted a cost-benefit analysis to determine economic feasibility and benefits.</w:t>
      </w:r>
    </w:p>
    <w:p w14:paraId="1CCCF32F" w14:textId="77777777" w:rsidR="002F7291" w:rsidRDefault="002F7291" w:rsidP="00FD2AB3">
      <w:pPr>
        <w:jc w:val="both"/>
        <w:rPr>
          <w:rFonts w:eastAsia="Times New Roman"/>
          <w:b/>
          <w:lang w:val="en-IN"/>
        </w:rPr>
      </w:pPr>
    </w:p>
    <w:p w14:paraId="3046C17A" w14:textId="77777777" w:rsidR="00FD2AB3" w:rsidRDefault="00FD2AB3" w:rsidP="00FD2AB3">
      <w:pPr>
        <w:jc w:val="both"/>
        <w:rPr>
          <w:rFonts w:eastAsia="Times New Roman"/>
          <w:lang w:val="en-IN"/>
        </w:rPr>
      </w:pPr>
      <w:r w:rsidRPr="00623C9D">
        <w:rPr>
          <w:rFonts w:eastAsia="Times New Roman"/>
          <w:b/>
          <w:lang w:val="en-IN"/>
        </w:rPr>
        <w:t>Documentation and Reporting</w:t>
      </w:r>
      <w:r w:rsidRPr="00623C9D">
        <w:rPr>
          <w:rFonts w:eastAsia="Times New Roman"/>
          <w:lang w:val="en-IN"/>
        </w:rPr>
        <w:t xml:space="preserve">: Recorded any modifications made during </w:t>
      </w:r>
      <w:r>
        <w:rPr>
          <w:rFonts w:eastAsia="Times New Roman"/>
          <w:lang w:val="en-IN"/>
        </w:rPr>
        <w:t xml:space="preserve">the </w:t>
      </w:r>
      <w:r w:rsidRPr="00623C9D">
        <w:rPr>
          <w:rFonts w:eastAsia="Times New Roman"/>
          <w:lang w:val="en-IN"/>
        </w:rPr>
        <w:t xml:space="preserve">testing and optimization phases. Created user-friendly manuals explaining the system's operation, maintenance, and troubleshooting. Compiled a comprehensive report summarizing the entire project, including methodologies, </w:t>
      </w:r>
      <w:r>
        <w:rPr>
          <w:rFonts w:eastAsia="Times New Roman"/>
          <w:lang w:val="en-IN"/>
        </w:rPr>
        <w:t>results, and recommendations.</w:t>
      </w:r>
    </w:p>
    <w:p w14:paraId="10D0EEEB" w14:textId="2125B360" w:rsidR="00BC6E3D" w:rsidRPr="00BC6E3D" w:rsidRDefault="00BC6E3D" w:rsidP="00BC6E3D">
      <w:pPr>
        <w:pStyle w:val="Caption"/>
        <w:rPr>
          <w:noProof/>
          <w:color w:val="auto"/>
          <w:spacing w:val="-1"/>
          <w:sz w:val="20"/>
          <w:szCs w:val="20"/>
        </w:rPr>
      </w:pPr>
      <w:r w:rsidRPr="00BC6E3D">
        <w:rPr>
          <w:color w:val="auto"/>
        </w:rPr>
        <w:t xml:space="preserve">Figure </w:t>
      </w:r>
      <w:r w:rsidRPr="00BC6E3D">
        <w:rPr>
          <w:color w:val="auto"/>
        </w:rPr>
        <w:fldChar w:fldCharType="begin"/>
      </w:r>
      <w:r w:rsidRPr="00BC6E3D">
        <w:rPr>
          <w:color w:val="auto"/>
        </w:rPr>
        <w:instrText xml:space="preserve"> SEQ Figure \* ARABIC </w:instrText>
      </w:r>
      <w:r w:rsidRPr="00BC6E3D">
        <w:rPr>
          <w:color w:val="auto"/>
        </w:rPr>
        <w:fldChar w:fldCharType="separate"/>
      </w:r>
      <w:r w:rsidR="00CC4254">
        <w:rPr>
          <w:noProof/>
          <w:color w:val="auto"/>
        </w:rPr>
        <w:t>1</w:t>
      </w:r>
      <w:r w:rsidRPr="00BC6E3D">
        <w:rPr>
          <w:color w:val="auto"/>
        </w:rPr>
        <w:fldChar w:fldCharType="end"/>
      </w:r>
      <w:r w:rsidRPr="00BC6E3D">
        <w:rPr>
          <w:color w:val="auto"/>
        </w:rPr>
        <w:t xml:space="preserve"> Methodology used in paper </w:t>
      </w:r>
    </w:p>
    <w:p w14:paraId="2A005E7F" w14:textId="21878838" w:rsidR="00FD2AB3" w:rsidRPr="00DE65F1" w:rsidRDefault="00FD2AB3" w:rsidP="00FD2AB3">
      <w:pPr>
        <w:pStyle w:val="Heading1"/>
        <w:rPr>
          <w:b/>
        </w:rPr>
      </w:pPr>
      <w:r w:rsidRPr="00DE65F1">
        <w:rPr>
          <w:b/>
        </w:rPr>
        <w:t>Components used in proposed work</w:t>
      </w:r>
    </w:p>
    <w:p w14:paraId="1BF0CE21" w14:textId="05E31135" w:rsidR="00523B9F" w:rsidRDefault="00523B9F" w:rsidP="0055330D">
      <w:pPr>
        <w:pStyle w:val="BodyText"/>
        <w:ind w:firstLine="0"/>
      </w:pPr>
    </w:p>
    <w:p w14:paraId="22A5FD71" w14:textId="4A94347A" w:rsidR="001E7742" w:rsidRPr="00C70CEF" w:rsidRDefault="001E7742" w:rsidP="001E7742">
      <w:pPr>
        <w:spacing w:after="160"/>
        <w:jc w:val="both"/>
        <w:rPr>
          <w:sz w:val="18"/>
          <w:szCs w:val="18"/>
        </w:rPr>
      </w:pPr>
      <w:r w:rsidRPr="001C415B">
        <w:rPr>
          <w:rFonts w:eastAsia="Times New Roman"/>
          <w:lang w:val="en-IN"/>
        </w:rPr>
        <w:lastRenderedPageBreak/>
        <w:t xml:space="preserve">Solar Panel: Considering the project's power needs, efficiency objectives, and environmental circumstances is essential when selecting a suitable solar panel. The main energy source of the system is a solar panel, which uses sunshine to produce electricity and recharge the battery. </w:t>
      </w:r>
    </w:p>
    <w:p w14:paraId="54F88C6D" w14:textId="5BA0C7F5" w:rsidR="001E7742" w:rsidRDefault="001E7742" w:rsidP="001E7742">
      <w:pPr>
        <w:spacing w:after="120"/>
        <w:jc w:val="both"/>
        <w:rPr>
          <w:rFonts w:eastAsia="Times New Roman"/>
          <w:lang w:val="en-IN"/>
        </w:rPr>
      </w:pPr>
      <w:r w:rsidRPr="000B5353">
        <w:rPr>
          <w:rFonts w:eastAsia="Times New Roman"/>
          <w:lang w:val="en-IN"/>
        </w:rPr>
        <w:t>Rechargeable Battery: For efficient energy storage, choose a rechargeable battery with a high enough capacity and appropriate features. This part serves as a reservoir, holding onto the solar energy that is captured during peak hours for subsequent usage. It guarantees a consistent and dependable power source, particularly in low- or no-sun seasons.</w:t>
      </w:r>
    </w:p>
    <w:p w14:paraId="5E300A29" w14:textId="27DE3923" w:rsidR="001E7742" w:rsidRPr="000B5353" w:rsidRDefault="001E7742" w:rsidP="001E7742">
      <w:pPr>
        <w:spacing w:after="120"/>
        <w:jc w:val="both"/>
        <w:rPr>
          <w:rFonts w:eastAsia="Times New Roman"/>
          <w:lang w:val="en-IN"/>
        </w:rPr>
      </w:pPr>
      <w:proofErr w:type="spellStart"/>
      <w:r w:rsidRPr="000B5353">
        <w:rPr>
          <w:rFonts w:eastAsia="Times New Roman"/>
          <w:lang w:val="en-IN"/>
        </w:rPr>
        <w:t>Arduino</w:t>
      </w:r>
      <w:proofErr w:type="spellEnd"/>
      <w:r w:rsidRPr="000B5353">
        <w:rPr>
          <w:rFonts w:eastAsia="Times New Roman"/>
          <w:lang w:val="en-IN"/>
        </w:rPr>
        <w:t xml:space="preserve"> Board: Choosing the right Arduino board is essential since it acts as the system's central nervous system. It is essential for seamless integration with other components that the input/output pins be compatible. The Arduino board oversees the whole operation of the system, coordinating power distribution, coordinating the charging procedure, and keeping an eye on the condition of the batteries.</w:t>
      </w:r>
      <w:r w:rsidRPr="001E7742">
        <w:rPr>
          <w:rFonts w:eastAsia="Times New Roman"/>
          <w:noProof/>
          <w:lang w:val="en-IN"/>
        </w:rPr>
        <w:t xml:space="preserve"> </w:t>
      </w:r>
    </w:p>
    <w:p w14:paraId="7402BB8E" w14:textId="3E5F3361" w:rsidR="001E7742" w:rsidRPr="000B5353" w:rsidRDefault="002F7291" w:rsidP="001E7742">
      <w:pPr>
        <w:spacing w:after="120"/>
        <w:jc w:val="both"/>
        <w:rPr>
          <w:rFonts w:eastAsia="Times New Roman"/>
          <w:lang w:val="en-IN"/>
        </w:rPr>
      </w:pPr>
      <w:r>
        <w:rPr>
          <w:noProof/>
        </w:rPr>
        <w:drawing>
          <wp:anchor distT="0" distB="0" distL="114300" distR="114300" simplePos="0" relativeHeight="251658240" behindDoc="1" locked="0" layoutInCell="1" allowOverlap="1" wp14:anchorId="4429E479" wp14:editId="35C1D1A9">
            <wp:simplePos x="0" y="0"/>
            <wp:positionH relativeFrom="column">
              <wp:posOffset>-80645</wp:posOffset>
            </wp:positionH>
            <wp:positionV relativeFrom="paragraph">
              <wp:posOffset>-3816985</wp:posOffset>
            </wp:positionV>
            <wp:extent cx="3076575" cy="3133725"/>
            <wp:effectExtent l="0" t="0" r="9525" b="9525"/>
            <wp:wrapTight wrapText="bothSides">
              <wp:wrapPolygon edited="0">
                <wp:start x="0" y="0"/>
                <wp:lineTo x="0" y="21534"/>
                <wp:lineTo x="21533" y="21534"/>
                <wp:lineTo x="21533" y="0"/>
                <wp:lineTo x="0" y="0"/>
              </wp:wrapPolygon>
            </wp:wrapTight>
            <wp:docPr id="31773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3133725"/>
                    </a:xfrm>
                    <a:prstGeom prst="rect">
                      <a:avLst/>
                    </a:prstGeom>
                    <a:noFill/>
                  </pic:spPr>
                </pic:pic>
              </a:graphicData>
            </a:graphic>
            <wp14:sizeRelH relativeFrom="margin">
              <wp14:pctWidth>0</wp14:pctWidth>
            </wp14:sizeRelH>
            <wp14:sizeRelV relativeFrom="margin">
              <wp14:pctHeight>0</wp14:pctHeight>
            </wp14:sizeRelV>
          </wp:anchor>
        </w:drawing>
      </w:r>
      <w:r w:rsidR="001E7742" w:rsidRPr="000B5353">
        <w:rPr>
          <w:rFonts w:eastAsia="Times New Roman"/>
          <w:lang w:val="en-IN"/>
        </w:rPr>
        <w:t>Rotary Encoder: The rotary encoder plays a major role in both system control and user engagement. It makes it easier to go through different settings precisely, giving customers the ability to change the charge duration in hours, minutes, and seconds. The rotary encoder improves the user interface by offering a dependable and effective way to enter data for customizing the charging system to suit user preferences.</w:t>
      </w:r>
    </w:p>
    <w:p w14:paraId="27E22FAC" w14:textId="0DEBC5EA" w:rsidR="001E7742" w:rsidRPr="000B5353" w:rsidRDefault="001E7742" w:rsidP="001E7742">
      <w:pPr>
        <w:spacing w:after="120"/>
        <w:jc w:val="both"/>
        <w:rPr>
          <w:rFonts w:eastAsia="Times New Roman"/>
          <w:lang w:val="en-IN"/>
        </w:rPr>
      </w:pPr>
      <w:r w:rsidRPr="000B5353">
        <w:rPr>
          <w:rFonts w:eastAsia="Times New Roman"/>
          <w:lang w:val="en-IN"/>
        </w:rPr>
        <w:t xml:space="preserve">LCD Display: </w:t>
      </w:r>
      <w:r>
        <w:rPr>
          <w:rFonts w:eastAsia="Times New Roman"/>
          <w:lang w:val="en-IN"/>
        </w:rPr>
        <w:t>To</w:t>
      </w:r>
      <w:r w:rsidRPr="000B5353">
        <w:rPr>
          <w:rFonts w:eastAsia="Times New Roman"/>
          <w:lang w:val="en-IN"/>
        </w:rPr>
        <w:t xml:space="preserve"> give consumers immediate feedback regarding the state of the system, an </w:t>
      </w:r>
      <w:r>
        <w:rPr>
          <w:rFonts w:eastAsia="Times New Roman"/>
          <w:lang w:val="en-IN"/>
        </w:rPr>
        <w:t>LCD</w:t>
      </w:r>
      <w:r w:rsidRPr="000B5353">
        <w:rPr>
          <w:rFonts w:eastAsia="Times New Roman"/>
          <w:lang w:val="en-IN"/>
        </w:rPr>
        <w:t xml:space="preserve"> is necessary. It conveys information visually, including user-adjusted settings, battery status, and charging duration. This visual interface provides quick and clear information about the ongoing charging process, improving user experience and making the system more visible and easier to use.</w:t>
      </w:r>
    </w:p>
    <w:p w14:paraId="2B4BA158" w14:textId="1DCB6EA6" w:rsidR="001E7742" w:rsidRPr="000B5353" w:rsidRDefault="001E7742" w:rsidP="001E7742">
      <w:pPr>
        <w:spacing w:after="120"/>
        <w:jc w:val="both"/>
        <w:rPr>
          <w:rFonts w:eastAsia="Times New Roman"/>
          <w:lang w:val="en-IN"/>
        </w:rPr>
      </w:pPr>
      <w:r w:rsidRPr="000B5353">
        <w:rPr>
          <w:rFonts w:eastAsia="Times New Roman"/>
          <w:lang w:val="en-IN"/>
        </w:rPr>
        <w:t>Potentiometer: By providing a variable resistance for modifying system parameters, the potentiometer is essential to human engagement. With this project, users may easily adjust settings like voltage levels and charge duration. The addition of a potentiometer makes the system easier to operate by giving consumers a simple way to adjust the charging parameters to suit their needs.</w:t>
      </w:r>
    </w:p>
    <w:p w14:paraId="3379E1E1" w14:textId="2BECE0F7" w:rsidR="00523B9F" w:rsidRDefault="001E7742" w:rsidP="0055330D">
      <w:pPr>
        <w:pStyle w:val="BodyText"/>
        <w:ind w:firstLine="0"/>
        <w:rPr>
          <w:rFonts w:eastAsia="Times New Roman"/>
          <w:lang w:val="en-IN"/>
        </w:rPr>
      </w:pPr>
      <w:r w:rsidRPr="000B5353">
        <w:rPr>
          <w:rFonts w:eastAsia="Times New Roman"/>
          <w:lang w:val="en-IN"/>
        </w:rPr>
        <w:t>Breadboard: The breadboard is an essential tool in the beginning of the project since it offers a temporary and adaptable platform for building and testing the circuit. It is crucial because it makes the process of iterative development easier and eliminates the necessity for soldering when making changes to the circuit design. The breadboard speeds up the project's prototype and validation stages even though it isn't a permanent component of the finished product</w:t>
      </w:r>
      <w:r>
        <w:rPr>
          <w:rFonts w:eastAsia="Times New Roman"/>
          <w:lang w:val="en-IN"/>
        </w:rPr>
        <w:t>.</w:t>
      </w:r>
    </w:p>
    <w:p w14:paraId="69AF3BFB" w14:textId="397F1D94" w:rsidR="002F7291" w:rsidRPr="002F7291" w:rsidRDefault="002F7291" w:rsidP="002F7291">
      <w:pPr>
        <w:pStyle w:val="Caption"/>
        <w:rPr>
          <w:noProof/>
          <w:color w:val="auto"/>
          <w:spacing w:val="-1"/>
          <w:sz w:val="20"/>
          <w:szCs w:val="20"/>
        </w:rPr>
      </w:pPr>
      <w:r w:rsidRPr="00BC6E3D">
        <w:rPr>
          <w:noProof/>
        </w:rPr>
        <w:lastRenderedPageBreak/>
        <w:drawing>
          <wp:anchor distT="0" distB="0" distL="114300" distR="114300" simplePos="0" relativeHeight="251684864" behindDoc="1" locked="0" layoutInCell="1" allowOverlap="1" wp14:anchorId="1718407A" wp14:editId="1409A707">
            <wp:simplePos x="0" y="0"/>
            <wp:positionH relativeFrom="column">
              <wp:posOffset>-20320</wp:posOffset>
            </wp:positionH>
            <wp:positionV relativeFrom="paragraph">
              <wp:posOffset>-2540</wp:posOffset>
            </wp:positionV>
            <wp:extent cx="2949575" cy="3076575"/>
            <wp:effectExtent l="0" t="0" r="3175" b="9525"/>
            <wp:wrapTight wrapText="bothSides">
              <wp:wrapPolygon edited="0">
                <wp:start x="0" y="0"/>
                <wp:lineTo x="0" y="21533"/>
                <wp:lineTo x="21484" y="21533"/>
                <wp:lineTo x="21484"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9575" cy="3076575"/>
                    </a:xfrm>
                    <a:prstGeom prst="rect">
                      <a:avLst/>
                    </a:prstGeom>
                    <a:noFill/>
                  </pic:spPr>
                </pic:pic>
              </a:graphicData>
            </a:graphic>
            <wp14:sizeRelH relativeFrom="margin">
              <wp14:pctWidth>0</wp14:pctWidth>
            </wp14:sizeRelH>
            <wp14:sizeRelV relativeFrom="margin">
              <wp14:pctHeight>0</wp14:pctHeight>
            </wp14:sizeRelV>
          </wp:anchor>
        </w:drawing>
      </w:r>
      <w:r w:rsidRPr="002F7291">
        <w:rPr>
          <w:color w:val="auto"/>
        </w:rPr>
        <w:t xml:space="preserve">Figure 2 Components Used in Charging Setup </w:t>
      </w:r>
    </w:p>
    <w:p w14:paraId="264842A4" w14:textId="451274C7" w:rsidR="00BC6E3D" w:rsidRDefault="002F7291" w:rsidP="00BC6E3D">
      <w:pPr>
        <w:rPr>
          <w:rFonts w:eastAsia="Times New Roman"/>
          <w:noProof/>
        </w:rPr>
      </w:pPr>
      <w:r>
        <w:rPr>
          <w:rFonts w:eastAsia="Times New Roman"/>
          <w:noProof/>
        </w:rPr>
        <w:drawing>
          <wp:anchor distT="0" distB="0" distL="114300" distR="114300" simplePos="0" relativeHeight="251686912" behindDoc="1" locked="0" layoutInCell="1" allowOverlap="1" wp14:anchorId="53C8059E" wp14:editId="7016DB72">
            <wp:simplePos x="0" y="0"/>
            <wp:positionH relativeFrom="margin">
              <wp:posOffset>55245</wp:posOffset>
            </wp:positionH>
            <wp:positionV relativeFrom="paragraph">
              <wp:posOffset>107950</wp:posOffset>
            </wp:positionV>
            <wp:extent cx="2875280" cy="1914525"/>
            <wp:effectExtent l="0" t="0" r="1270" b="9525"/>
            <wp:wrapTight wrapText="bothSides">
              <wp:wrapPolygon edited="0">
                <wp:start x="0" y="0"/>
                <wp:lineTo x="0" y="21493"/>
                <wp:lineTo x="21466" y="21493"/>
                <wp:lineTo x="21466" y="0"/>
                <wp:lineTo x="0" y="0"/>
              </wp:wrapPolygon>
            </wp:wrapTight>
            <wp:docPr id="469054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2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02EAFA8F" w14:textId="77777777" w:rsidR="002F7291" w:rsidRDefault="002F7291" w:rsidP="00BC6E3D">
      <w:pPr>
        <w:rPr>
          <w:rFonts w:eastAsia="Times New Roman"/>
          <w:noProof/>
        </w:rPr>
      </w:pPr>
    </w:p>
    <w:p w14:paraId="5D719781" w14:textId="77777777" w:rsidR="002F7291" w:rsidRPr="002F7291" w:rsidRDefault="002F7291" w:rsidP="002F7291">
      <w:pPr>
        <w:pStyle w:val="Caption"/>
        <w:rPr>
          <w:noProof/>
          <w:color w:val="auto"/>
          <w:spacing w:val="-1"/>
          <w:sz w:val="20"/>
          <w:szCs w:val="20"/>
        </w:rPr>
      </w:pPr>
      <w:r w:rsidRPr="002F7291">
        <w:rPr>
          <w:color w:val="auto"/>
        </w:rPr>
        <w:t xml:space="preserve">Figure 3 Schematic Diagram of Setup </w:t>
      </w:r>
    </w:p>
    <w:p w14:paraId="4299FD57" w14:textId="77777777" w:rsidR="002F7291" w:rsidRDefault="002F7291" w:rsidP="00BC6E3D">
      <w:pPr>
        <w:rPr>
          <w:rFonts w:eastAsia="Times New Roman"/>
          <w:noProof/>
        </w:rPr>
      </w:pPr>
    </w:p>
    <w:p w14:paraId="7CBA7EF0" w14:textId="77777777" w:rsidR="001E7742" w:rsidRPr="000B5353" w:rsidRDefault="001E7742" w:rsidP="001E7742">
      <w:pPr>
        <w:ind w:firstLine="357"/>
        <w:jc w:val="both"/>
        <w:rPr>
          <w:rFonts w:eastAsia="Roboto Mono"/>
        </w:rPr>
      </w:pPr>
      <w:r w:rsidRPr="000B5353">
        <w:rPr>
          <w:rFonts w:eastAsia="Roboto Mono"/>
        </w:rPr>
        <w:t>The charging timer control system's core operations revolve around the deft handling of user inputs, display output, and timer control. Essentially, this technology makes use of a rotary encoder to provide users with a dynamic interface via which they may adjust a variety of settings. With the use of this simple process, customers may precisely modify the hours, minutes, and seconds to customize the charging time to their preferences.</w:t>
      </w:r>
    </w:p>
    <w:p w14:paraId="19A4B24E" w14:textId="0D79F337" w:rsidR="001E7742" w:rsidRDefault="001E7742" w:rsidP="001E7742">
      <w:pPr>
        <w:ind w:firstLine="357"/>
        <w:jc w:val="both"/>
        <w:rPr>
          <w:rFonts w:eastAsia="Roboto Mono"/>
          <w:noProof/>
        </w:rPr>
      </w:pPr>
      <w:r w:rsidRPr="000B5353">
        <w:rPr>
          <w:rFonts w:eastAsia="Roboto Mono"/>
        </w:rPr>
        <w:t xml:space="preserve">The system uses a state machine-based methodology to orchestrate a smooth and user-friendly experience. This advanced framework ensures a seamless and natural interaction by automatically handling various user interface modes. By using this technique, the charging timer control system responds to user inputs with clarity </w:t>
      </w:r>
      <w:r w:rsidRPr="000B5353">
        <w:rPr>
          <w:rFonts w:eastAsia="Roboto Mono"/>
        </w:rPr>
        <w:lastRenderedPageBreak/>
        <w:t>and precision, and it can switch between different settings with ease.</w:t>
      </w:r>
      <w:r w:rsidRPr="00625044">
        <w:rPr>
          <w:rFonts w:eastAsia="Roboto Mono"/>
          <w:noProof/>
        </w:rPr>
        <w:t xml:space="preserve"> </w:t>
      </w:r>
    </w:p>
    <w:p w14:paraId="5E590A37" w14:textId="41A72A66" w:rsidR="001E7742" w:rsidRPr="000B5353" w:rsidRDefault="001E7742" w:rsidP="001E7742">
      <w:pPr>
        <w:ind w:firstLine="357"/>
        <w:jc w:val="both"/>
        <w:rPr>
          <w:rFonts w:eastAsia="Roboto Mono"/>
        </w:rPr>
      </w:pPr>
      <w:r>
        <w:rPr>
          <w:noProof/>
        </w:rPr>
        <w:drawing>
          <wp:anchor distT="0" distB="0" distL="114300" distR="114300" simplePos="0" relativeHeight="251667456" behindDoc="1" locked="0" layoutInCell="1" allowOverlap="1" wp14:anchorId="100A590D" wp14:editId="4A23F8F4">
            <wp:simplePos x="0" y="0"/>
            <wp:positionH relativeFrom="column">
              <wp:posOffset>-52070</wp:posOffset>
            </wp:positionH>
            <wp:positionV relativeFrom="paragraph">
              <wp:posOffset>1984375</wp:posOffset>
            </wp:positionV>
            <wp:extent cx="3114675" cy="3912870"/>
            <wp:effectExtent l="0" t="0" r="9525" b="0"/>
            <wp:wrapTight wrapText="bothSides">
              <wp:wrapPolygon edited="0">
                <wp:start x="0" y="0"/>
                <wp:lineTo x="0" y="21453"/>
                <wp:lineTo x="21534" y="21453"/>
                <wp:lineTo x="21534" y="0"/>
                <wp:lineTo x="0" y="0"/>
              </wp:wrapPolygon>
            </wp:wrapTight>
            <wp:docPr id="338745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3912870"/>
                    </a:xfrm>
                    <a:prstGeom prst="rect">
                      <a:avLst/>
                    </a:prstGeom>
                    <a:noFill/>
                  </pic:spPr>
                </pic:pic>
              </a:graphicData>
            </a:graphic>
            <wp14:sizeRelV relativeFrom="margin">
              <wp14:pctHeight>0</wp14:pctHeight>
            </wp14:sizeRelV>
          </wp:anchor>
        </w:drawing>
      </w:r>
      <w:r w:rsidRPr="000B5353">
        <w:rPr>
          <w:rFonts w:eastAsia="Roboto Mono"/>
        </w:rPr>
        <w:t xml:space="preserve">One noteworthy aspect that adds to the system's ease of use is the use of EEPROM memory. User-defined presets are stored on this non-volatile storage medium so that users may easily retrieve and use their </w:t>
      </w:r>
      <w:proofErr w:type="spellStart"/>
      <w:r w:rsidRPr="000B5353">
        <w:rPr>
          <w:rFonts w:eastAsia="Roboto Mono"/>
        </w:rPr>
        <w:t>favourite</w:t>
      </w:r>
      <w:proofErr w:type="spellEnd"/>
      <w:r w:rsidRPr="000B5353">
        <w:rPr>
          <w:rFonts w:eastAsia="Roboto Mono"/>
        </w:rPr>
        <w:t xml:space="preserve"> charging configurations. This creative use of EEPROM improves the system's overall usability and offers a hassle-free, effective charging process.</w:t>
      </w:r>
      <w:r>
        <w:rPr>
          <w:rFonts w:eastAsia="Roboto Mono"/>
        </w:rPr>
        <w:t xml:space="preserve"> </w:t>
      </w:r>
      <w:r w:rsidRPr="00AE4E80">
        <w:rPr>
          <w:rFonts w:eastAsia="Roboto Mono"/>
          <w:sz w:val="18"/>
          <w:szCs w:val="18"/>
        </w:rPr>
        <w:t>After carefully dissecting the code structure, the goal of this work is to decipher the complex algorithms and control logic that dictate how the system behaves. Through an exploration of the fundamental concepts of Arduino-driven control systems, this research clarifies the intricacies and complexities that support the system's intelligent and resilient operation</w:t>
      </w:r>
    </w:p>
    <w:p w14:paraId="3A81FEB2" w14:textId="6A4CC640" w:rsidR="001E7742" w:rsidRDefault="001E7742" w:rsidP="0055330D">
      <w:pPr>
        <w:pStyle w:val="BodyText"/>
        <w:ind w:firstLine="0"/>
      </w:pPr>
      <w:r>
        <w:rPr>
          <w:noProof/>
          <w:sz w:val="24"/>
          <w:szCs w:val="24"/>
        </w:rPr>
        <mc:AlternateContent>
          <mc:Choice Requires="wps">
            <w:drawing>
              <wp:anchor distT="0" distB="0" distL="114300" distR="114300" simplePos="0" relativeHeight="251669504" behindDoc="1" locked="0" layoutInCell="1" allowOverlap="1" wp14:anchorId="7675FCE0" wp14:editId="5F54B9E6">
                <wp:simplePos x="0" y="0"/>
                <wp:positionH relativeFrom="margin">
                  <wp:align>left</wp:align>
                </wp:positionH>
                <wp:positionV relativeFrom="paragraph">
                  <wp:posOffset>4358005</wp:posOffset>
                </wp:positionV>
                <wp:extent cx="2981325" cy="264795"/>
                <wp:effectExtent l="0" t="0" r="9525" b="8255"/>
                <wp:wrapTight wrapText="bothSides">
                  <wp:wrapPolygon edited="0">
                    <wp:start x="0" y="0"/>
                    <wp:lineTo x="0" y="20698"/>
                    <wp:lineTo x="21531" y="20698"/>
                    <wp:lineTo x="21531" y="0"/>
                    <wp:lineTo x="0" y="0"/>
                  </wp:wrapPolygon>
                </wp:wrapTight>
                <wp:docPr id="395035697" name="Text Box 1"/>
                <wp:cNvGraphicFramePr/>
                <a:graphic xmlns:a="http://schemas.openxmlformats.org/drawingml/2006/main">
                  <a:graphicData uri="http://schemas.microsoft.com/office/word/2010/wordprocessingShape">
                    <wps:wsp>
                      <wps:cNvSpPr txBox="1"/>
                      <wps:spPr>
                        <a:xfrm>
                          <a:off x="0" y="0"/>
                          <a:ext cx="2981325" cy="264795"/>
                        </a:xfrm>
                        <a:prstGeom prst="rect">
                          <a:avLst/>
                        </a:prstGeom>
                        <a:solidFill>
                          <a:prstClr val="white"/>
                        </a:solidFill>
                        <a:ln>
                          <a:noFill/>
                        </a:ln>
                      </wps:spPr>
                      <wps:txbx>
                        <w:txbxContent>
                          <w:p w14:paraId="04C5713B" w14:textId="506CA543" w:rsidR="001E7742" w:rsidRDefault="001E7742" w:rsidP="001E7742">
                            <w:pPr>
                              <w:pStyle w:val="Caption"/>
                              <w:rPr>
                                <w:noProof/>
                                <w:spacing w:val="-1"/>
                                <w:sz w:val="20"/>
                                <w:szCs w:val="20"/>
                              </w:rPr>
                            </w:pPr>
                            <w:r>
                              <w:t xml:space="preserve">Figure 4 Sequential Working of Components </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343.15pt;width:234.75pt;height:20.8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" stroked="f">
                <v:textbox style="mso-fit-shape-to-text:t" inset="0,0,0,0">
                  <w:txbxContent>
                    <w:p w14:paraId="04C5713B" w14:textId="506CA543" w:rsidR="001E7742" w:rsidRDefault="001E7742" w:rsidP="001E7742">
                      <w:pPr>
                        <w:pStyle w:val="Caption"/>
                        <w:rPr>
                          <w:noProof/>
                          <w:spacing w:val="-1"/>
                          <w:sz w:val="20"/>
                          <w:szCs w:val="20"/>
                          <w:lang/>
                        </w:rPr>
                      </w:pPr>
                      <w:r>
                        <w:t xml:space="preserve">Figure 4 Sequential Working of Components </w:t>
                      </w:r>
                    </w:p>
                  </w:txbxContent>
                </v:textbox>
                <w10:wrap type="tight" anchorx="margin"/>
              </v:shape>
            </w:pict>
          </mc:Fallback>
        </mc:AlternateContent>
      </w:r>
    </w:p>
    <w:p w14:paraId="206C001B" w14:textId="77777777" w:rsidR="002F7291" w:rsidRPr="002F7291" w:rsidRDefault="002F7291" w:rsidP="002F7291">
      <w:pPr>
        <w:pStyle w:val="Caption"/>
        <w:rPr>
          <w:noProof/>
          <w:color w:val="auto"/>
          <w:spacing w:val="-1"/>
          <w:sz w:val="20"/>
          <w:szCs w:val="20"/>
        </w:rPr>
      </w:pPr>
      <w:r w:rsidRPr="002F7291">
        <w:rPr>
          <w:color w:val="auto"/>
        </w:rPr>
        <w:t xml:space="preserve">Figure 4 Sequential Working of Components </w:t>
      </w:r>
    </w:p>
    <w:p w14:paraId="1AC8D374" w14:textId="76075E61" w:rsidR="001E7742" w:rsidRDefault="001E7742" w:rsidP="001E7742">
      <w:pPr>
        <w:pStyle w:val="Heading1"/>
      </w:pPr>
      <w:r>
        <w:t>Analysis of experimental results</w:t>
      </w:r>
    </w:p>
    <w:p w14:paraId="464A8EE7" w14:textId="77777777" w:rsidR="001E7742" w:rsidRDefault="001E7742" w:rsidP="001E7742"/>
    <w:p w14:paraId="334F4A36" w14:textId="301401DD" w:rsidR="001E7742" w:rsidRDefault="001E7742" w:rsidP="001E7742">
      <w:pPr>
        <w:pStyle w:val="Heading2"/>
      </w:pPr>
      <w:r>
        <w:t xml:space="preserve">Solar Energy Generation </w:t>
      </w:r>
    </w:p>
    <w:p w14:paraId="1015092A" w14:textId="4FEB4D02" w:rsidR="001E7742" w:rsidRDefault="00BD7F38" w:rsidP="00BD7F38">
      <w:pPr>
        <w:pStyle w:val="ListParagraph"/>
        <w:numPr>
          <w:ilvl w:val="0"/>
          <w:numId w:val="30"/>
        </w:numPr>
        <w:jc w:val="both"/>
      </w:pPr>
      <w:r>
        <w:t>Average Daily Energy Output</w:t>
      </w:r>
    </w:p>
    <w:p w14:paraId="6BDE154E" w14:textId="77777777" w:rsidR="00BD7F38" w:rsidRPr="001E7742" w:rsidRDefault="00BD7F38" w:rsidP="00BD7F38">
      <w:pPr>
        <w:jc w:val="both"/>
      </w:pPr>
    </w:p>
    <w:p w14:paraId="0925662F" w14:textId="270222E3" w:rsidR="00BD7F38" w:rsidRPr="00BD7F38" w:rsidRDefault="00BD7F38" w:rsidP="00BD7F38">
      <w:pPr>
        <w:spacing w:after="160"/>
        <w:ind w:left="360" w:firstLine="360"/>
        <w:jc w:val="both"/>
        <w:rPr>
          <w:rFonts w:eastAsia="Roboto Mono"/>
        </w:rPr>
      </w:pPr>
      <w:r w:rsidRPr="00BD7F38">
        <w:rPr>
          <w:rFonts w:eastAsia="Roboto Mono"/>
        </w:rPr>
        <w:t xml:space="preserve">The prototype exhibited an average daily energy output </w:t>
      </w:r>
      <w:proofErr w:type="gramStart"/>
      <w:r w:rsidRPr="00BD7F38">
        <w:rPr>
          <w:rFonts w:eastAsia="Roboto Mono"/>
        </w:rPr>
        <w:t>of 20 kWh/day under simulated solar irradiance conditions</w:t>
      </w:r>
      <w:proofErr w:type="gramEnd"/>
      <w:r w:rsidRPr="00BD7F38">
        <w:rPr>
          <w:rFonts w:eastAsia="Roboto Mono"/>
        </w:rPr>
        <w:t>. Variations in light intensity and duration were observed to directly influence energy generation levels.</w:t>
      </w:r>
    </w:p>
    <w:p w14:paraId="40CACCDA" w14:textId="58A78BE8" w:rsidR="00BD7F38" w:rsidRDefault="002F7291" w:rsidP="001E7742">
      <w:r w:rsidRPr="00BD7F38">
        <w:rPr>
          <w:rFonts w:eastAsia="Roboto Mono"/>
          <w:noProof/>
          <w:sz w:val="18"/>
          <w:szCs w:val="18"/>
        </w:rPr>
        <w:drawing>
          <wp:anchor distT="0" distB="0" distL="114300" distR="114300" simplePos="0" relativeHeight="251670528" behindDoc="1" locked="0" layoutInCell="1" allowOverlap="1" wp14:anchorId="4B2B9338" wp14:editId="7CA6F5E2">
            <wp:simplePos x="0" y="0"/>
            <wp:positionH relativeFrom="column">
              <wp:posOffset>-3332480</wp:posOffset>
            </wp:positionH>
            <wp:positionV relativeFrom="paragraph">
              <wp:posOffset>-7753350</wp:posOffset>
            </wp:positionV>
            <wp:extent cx="3089910" cy="1598295"/>
            <wp:effectExtent l="0" t="0" r="0" b="1905"/>
            <wp:wrapTight wrapText="bothSides">
              <wp:wrapPolygon edited="0">
                <wp:start x="0" y="0"/>
                <wp:lineTo x="0" y="21368"/>
                <wp:lineTo x="21440" y="21368"/>
                <wp:lineTo x="21440" y="0"/>
                <wp:lineTo x="0" y="0"/>
              </wp:wrapPolygon>
            </wp:wrapTight>
            <wp:docPr id="178751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8952" name=""/>
                    <pic:cNvPicPr/>
                  </pic:nvPicPr>
                  <pic:blipFill>
                    <a:blip r:embed="rId17">
                      <a:extLst>
                        <a:ext uri="{28A0092B-C50C-407E-A947-70E740481C1C}">
                          <a14:useLocalDpi xmlns:a14="http://schemas.microsoft.com/office/drawing/2010/main" val="0"/>
                        </a:ext>
                      </a:extLst>
                    </a:blip>
                    <a:stretch>
                      <a:fillRect/>
                    </a:stretch>
                  </pic:blipFill>
                  <pic:spPr>
                    <a:xfrm>
                      <a:off x="0" y="0"/>
                      <a:ext cx="3089910" cy="1598295"/>
                    </a:xfrm>
                    <a:prstGeom prst="rect">
                      <a:avLst/>
                    </a:prstGeom>
                  </pic:spPr>
                </pic:pic>
              </a:graphicData>
            </a:graphic>
          </wp:anchor>
        </w:drawing>
      </w:r>
    </w:p>
    <w:p w14:paraId="06E57992" w14:textId="40BD5275" w:rsidR="00F330B8" w:rsidRDefault="001E3329" w:rsidP="00F330B8">
      <w:pPr>
        <w:pStyle w:val="ListParagraph"/>
        <w:jc w:val="both"/>
      </w:pPr>
      <w:r w:rsidRPr="00F330B8">
        <w:rPr>
          <w:rFonts w:eastAsia="Roboto Mono"/>
          <w:noProof/>
          <w:sz w:val="18"/>
          <w:szCs w:val="18"/>
        </w:rPr>
        <w:lastRenderedPageBreak/>
        <w:drawing>
          <wp:anchor distT="0" distB="0" distL="114300" distR="114300" simplePos="0" relativeHeight="251676672" behindDoc="1" locked="0" layoutInCell="1" allowOverlap="1" wp14:anchorId="7A132A4F" wp14:editId="3A113C14">
            <wp:simplePos x="0" y="0"/>
            <wp:positionH relativeFrom="column">
              <wp:posOffset>3612515</wp:posOffset>
            </wp:positionH>
            <wp:positionV relativeFrom="paragraph">
              <wp:posOffset>30480</wp:posOffset>
            </wp:positionV>
            <wp:extent cx="2771775" cy="1695450"/>
            <wp:effectExtent l="0" t="0" r="9525" b="0"/>
            <wp:wrapTight wrapText="bothSides">
              <wp:wrapPolygon edited="0">
                <wp:start x="0" y="0"/>
                <wp:lineTo x="0" y="21357"/>
                <wp:lineTo x="21526" y="21357"/>
                <wp:lineTo x="21526" y="0"/>
                <wp:lineTo x="0" y="0"/>
              </wp:wrapPolygon>
            </wp:wrapTight>
            <wp:docPr id="1061637063" name="Picture 2" descr="A device with wir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7063" name="Picture 2" descr="A device with wires and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775" cy="1695450"/>
                    </a:xfrm>
                    <a:prstGeom prst="rect">
                      <a:avLst/>
                    </a:prstGeom>
                  </pic:spPr>
                </pic:pic>
              </a:graphicData>
            </a:graphic>
            <wp14:sizeRelH relativeFrom="margin">
              <wp14:pctWidth>0</wp14:pctWidth>
            </wp14:sizeRelH>
            <wp14:sizeRelV relativeFrom="margin">
              <wp14:pctHeight>0</wp14:pctHeight>
            </wp14:sizeRelV>
          </wp:anchor>
        </w:drawing>
      </w:r>
      <w:r w:rsidRPr="00BD7F38">
        <w:rPr>
          <w:rFonts w:eastAsia="Roboto Mono"/>
          <w:noProof/>
          <w:sz w:val="18"/>
          <w:szCs w:val="18"/>
        </w:rPr>
        <w:drawing>
          <wp:anchor distT="0" distB="0" distL="114300" distR="114300" simplePos="0" relativeHeight="251688960" behindDoc="1" locked="0" layoutInCell="1" allowOverlap="1" wp14:anchorId="62F7B4D0" wp14:editId="04E40EB6">
            <wp:simplePos x="0" y="0"/>
            <wp:positionH relativeFrom="column">
              <wp:posOffset>33655</wp:posOffset>
            </wp:positionH>
            <wp:positionV relativeFrom="paragraph">
              <wp:posOffset>-76835</wp:posOffset>
            </wp:positionV>
            <wp:extent cx="3089910" cy="1598295"/>
            <wp:effectExtent l="0" t="0" r="0" b="1905"/>
            <wp:wrapTight wrapText="bothSides">
              <wp:wrapPolygon edited="0">
                <wp:start x="0" y="0"/>
                <wp:lineTo x="0" y="21368"/>
                <wp:lineTo x="21440" y="21368"/>
                <wp:lineTo x="2144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8952" name=""/>
                    <pic:cNvPicPr/>
                  </pic:nvPicPr>
                  <pic:blipFill>
                    <a:blip r:embed="rId17">
                      <a:extLst>
                        <a:ext uri="{28A0092B-C50C-407E-A947-70E740481C1C}">
                          <a14:useLocalDpi xmlns:a14="http://schemas.microsoft.com/office/drawing/2010/main" val="0"/>
                        </a:ext>
                      </a:extLst>
                    </a:blip>
                    <a:stretch>
                      <a:fillRect/>
                    </a:stretch>
                  </pic:blipFill>
                  <pic:spPr>
                    <a:xfrm>
                      <a:off x="0" y="0"/>
                      <a:ext cx="3089910" cy="1598295"/>
                    </a:xfrm>
                    <a:prstGeom prst="rect">
                      <a:avLst/>
                    </a:prstGeom>
                  </pic:spPr>
                </pic:pic>
              </a:graphicData>
            </a:graphic>
            <wp14:sizeRelV relativeFrom="margin">
              <wp14:pctHeight>0</wp14:pctHeight>
            </wp14:sizeRelV>
          </wp:anchor>
        </w:drawing>
      </w:r>
    </w:p>
    <w:p w14:paraId="5DB9CC8E" w14:textId="2CB92578" w:rsidR="001E3329" w:rsidRDefault="001E3329" w:rsidP="00F330B8">
      <w:pPr>
        <w:pStyle w:val="ListParagraph"/>
        <w:jc w:val="both"/>
      </w:pPr>
      <w:r w:rsidRPr="00F330B8">
        <w:t>Figure 5 Prototype Desig</w:t>
      </w:r>
      <w:r>
        <w:t>n</w:t>
      </w:r>
    </w:p>
    <w:p w14:paraId="3BE95088" w14:textId="77777777" w:rsidR="001E3329" w:rsidRDefault="001E3329" w:rsidP="00F330B8">
      <w:pPr>
        <w:pStyle w:val="ListParagraph"/>
        <w:jc w:val="both"/>
      </w:pPr>
    </w:p>
    <w:p w14:paraId="24EF87B6" w14:textId="61C8396E" w:rsidR="001E7742" w:rsidRDefault="00BD7F38" w:rsidP="00BD7F38">
      <w:pPr>
        <w:pStyle w:val="ListParagraph"/>
        <w:numPr>
          <w:ilvl w:val="0"/>
          <w:numId w:val="30"/>
        </w:numPr>
        <w:jc w:val="both"/>
      </w:pPr>
      <w:r>
        <w:t>Efficiency Analysis</w:t>
      </w:r>
    </w:p>
    <w:p w14:paraId="4B2F5B58" w14:textId="77777777" w:rsidR="00BD7F38" w:rsidRDefault="00BD7F38" w:rsidP="00BD7F38">
      <w:pPr>
        <w:jc w:val="both"/>
      </w:pPr>
    </w:p>
    <w:p w14:paraId="78ED17A6" w14:textId="355A767C" w:rsidR="00BD7F38" w:rsidRDefault="00BD7F38" w:rsidP="00BD7F38">
      <w:pPr>
        <w:ind w:left="360" w:firstLine="360"/>
        <w:jc w:val="both"/>
        <w:rPr>
          <w:rFonts w:eastAsia="Roboto Mono"/>
        </w:rPr>
      </w:pPr>
      <w:r w:rsidRPr="00FF46DD">
        <w:rPr>
          <w:rFonts w:eastAsia="Roboto Mono"/>
        </w:rPr>
        <w:t>The conversion efficiency of the solar panels was calculated at 15%, indicating the efficacy of the photovoltaic system in converting solar irradiance into electrical energy.</w:t>
      </w:r>
    </w:p>
    <w:p w14:paraId="44F5A3C9" w14:textId="18CD6A29" w:rsidR="00BD7F38" w:rsidRDefault="00BD7F38" w:rsidP="00BD7F38">
      <w:pPr>
        <w:ind w:left="360" w:firstLine="360"/>
        <w:jc w:val="both"/>
        <w:rPr>
          <w:rFonts w:eastAsia="Roboto Mono"/>
        </w:rPr>
      </w:pPr>
    </w:p>
    <w:p w14:paraId="4B24F57F" w14:textId="128784FE" w:rsidR="00BD7F38" w:rsidRPr="00FF46DD" w:rsidRDefault="00BD7F38" w:rsidP="00BD7F38">
      <w:pPr>
        <w:ind w:left="360" w:firstLine="360"/>
        <w:jc w:val="both"/>
        <w:rPr>
          <w:rFonts w:eastAsia="Roboto Mono"/>
        </w:rPr>
      </w:pPr>
    </w:p>
    <w:p w14:paraId="5CCBE437" w14:textId="77777777" w:rsidR="001E3329" w:rsidRDefault="001E3329" w:rsidP="001E3329">
      <w:pPr>
        <w:pStyle w:val="Caption"/>
        <w:rPr>
          <w:noProof/>
          <w:spacing w:val="-1"/>
          <w:sz w:val="20"/>
          <w:szCs w:val="20"/>
        </w:rPr>
      </w:pPr>
      <w:r w:rsidRPr="001E3329">
        <w:rPr>
          <w:color w:val="auto"/>
        </w:rPr>
        <w:t>Figure 6 Charging Status -</w:t>
      </w:r>
      <w:proofErr w:type="spellStart"/>
      <w:r w:rsidRPr="001E3329">
        <w:rPr>
          <w:color w:val="auto"/>
        </w:rPr>
        <w:t>vs</w:t>
      </w:r>
      <w:proofErr w:type="spellEnd"/>
      <w:r w:rsidRPr="001E3329">
        <w:rPr>
          <w:color w:val="auto"/>
        </w:rPr>
        <w:t xml:space="preserve">- Time </w:t>
      </w:r>
    </w:p>
    <w:p w14:paraId="6A348606" w14:textId="18792EEF" w:rsidR="00BD7F38" w:rsidRDefault="00BD7F38" w:rsidP="00BD7F38">
      <w:pPr>
        <w:jc w:val="both"/>
      </w:pPr>
    </w:p>
    <w:p w14:paraId="2F64DB21" w14:textId="3827A4F2" w:rsidR="00BD7F38" w:rsidRDefault="00BD7F38" w:rsidP="00BD7F38">
      <w:pPr>
        <w:pStyle w:val="ListParagraph"/>
        <w:numPr>
          <w:ilvl w:val="0"/>
          <w:numId w:val="30"/>
        </w:numPr>
        <w:jc w:val="both"/>
      </w:pPr>
      <w:r>
        <w:t>Impact on Environmental Factors</w:t>
      </w:r>
    </w:p>
    <w:p w14:paraId="66087933" w14:textId="77777777" w:rsidR="00BD7F38" w:rsidRDefault="00BD7F38" w:rsidP="00BD7F38">
      <w:pPr>
        <w:jc w:val="both"/>
      </w:pPr>
    </w:p>
    <w:p w14:paraId="5150DAF3" w14:textId="25EC6B41" w:rsidR="00BD7F38" w:rsidRDefault="00BD7F38" w:rsidP="001E3329">
      <w:pPr>
        <w:jc w:val="both"/>
        <w:rPr>
          <w:rFonts w:eastAsia="Roboto Mono"/>
        </w:rPr>
      </w:pPr>
      <w:r w:rsidRPr="00FF46DD">
        <w:rPr>
          <w:rFonts w:eastAsia="Roboto Mono"/>
        </w:rPr>
        <w:t xml:space="preserve">Environmental variables such as cloud cover and shading were found to have a discernible impact on energy generation, highlighting the importance of site selection and environmental conditions in </w:t>
      </w:r>
      <w:r>
        <w:rPr>
          <w:rFonts w:eastAsia="Roboto Mono"/>
        </w:rPr>
        <w:t>optimizing</w:t>
      </w:r>
      <w:r w:rsidRPr="00FF46DD">
        <w:rPr>
          <w:rFonts w:eastAsia="Roboto Mono"/>
        </w:rPr>
        <w:t xml:space="preserve"> solar energy output</w:t>
      </w:r>
    </w:p>
    <w:p w14:paraId="4539EC47" w14:textId="77777777" w:rsidR="00BD7F38" w:rsidRDefault="00BD7F38" w:rsidP="00BD7F38">
      <w:pPr>
        <w:ind w:left="360" w:firstLine="360"/>
        <w:jc w:val="both"/>
        <w:rPr>
          <w:rFonts w:eastAsia="Roboto Mono"/>
        </w:rPr>
      </w:pPr>
    </w:p>
    <w:p w14:paraId="2272FC32" w14:textId="3F08997F" w:rsidR="00BD7F38" w:rsidRDefault="00BD7F38" w:rsidP="00BD7F38">
      <w:pPr>
        <w:pStyle w:val="Heading2"/>
      </w:pPr>
      <w:r>
        <w:t>Charging Capacity Evaluation</w:t>
      </w:r>
    </w:p>
    <w:p w14:paraId="0560D107" w14:textId="77777777" w:rsidR="001E3329" w:rsidRDefault="001E3329" w:rsidP="001E3329">
      <w:pPr>
        <w:rPr>
          <w:rFonts w:eastAsia="Roboto Mono"/>
        </w:rPr>
      </w:pPr>
    </w:p>
    <w:p w14:paraId="58219608" w14:textId="77777777" w:rsidR="001E3329" w:rsidRPr="003E1510" w:rsidRDefault="001E3329" w:rsidP="001E3329">
      <w:pPr>
        <w:jc w:val="both"/>
        <w:rPr>
          <w:rFonts w:eastAsia="Roboto Mono"/>
        </w:rPr>
      </w:pPr>
      <w:r w:rsidRPr="00070D34">
        <w:rPr>
          <w:rFonts w:eastAsia="Roboto Mono"/>
        </w:rPr>
        <w:t>The prototype demonstrated robust charging throughput, capable of accommodating and efficiently charging multiple mobile devices simultaneously. Charging capacity varied depending on battery size and charging protocol</w:t>
      </w:r>
      <w:r>
        <w:rPr>
          <w:rFonts w:eastAsia="Roboto Mono"/>
        </w:rPr>
        <w:t xml:space="preserve"> </w:t>
      </w:r>
      <w:r w:rsidRPr="00070D34">
        <w:rPr>
          <w:rFonts w:eastAsia="Roboto Mono"/>
        </w:rPr>
        <w:t>compatibility.</w:t>
      </w:r>
    </w:p>
    <w:p w14:paraId="786DD9E0" w14:textId="4449A3E6" w:rsidR="001E3329" w:rsidRDefault="001E3329" w:rsidP="001E3329"/>
    <w:p w14:paraId="294C58CB" w14:textId="2981B5F7" w:rsidR="001E3329" w:rsidRDefault="001E3329" w:rsidP="001E3329"/>
    <w:p w14:paraId="70F7254E" w14:textId="3876FC6E" w:rsidR="001E3329" w:rsidRDefault="001E3329" w:rsidP="001E3329"/>
    <w:p w14:paraId="545F1F11" w14:textId="77777777" w:rsidR="001E3329" w:rsidRDefault="001E3329" w:rsidP="001E3329"/>
    <w:p w14:paraId="6037A112" w14:textId="77777777" w:rsidR="001E3329" w:rsidRDefault="001E3329" w:rsidP="001E3329"/>
    <w:p w14:paraId="512B1DD5" w14:textId="77777777" w:rsidR="001E3329" w:rsidRDefault="001E3329" w:rsidP="001E3329"/>
    <w:p w14:paraId="7E245C9A" w14:textId="77777777" w:rsidR="001E3329" w:rsidRDefault="001E3329" w:rsidP="001E3329"/>
    <w:p w14:paraId="5401732F" w14:textId="77777777" w:rsidR="001E3329" w:rsidRDefault="001E3329" w:rsidP="001E3329"/>
    <w:p w14:paraId="56ACB9D9" w14:textId="77777777" w:rsidR="001E3329" w:rsidRDefault="001E3329" w:rsidP="001E3329"/>
    <w:p w14:paraId="3B62A9A0" w14:textId="78250EFF" w:rsidR="001E3329" w:rsidRDefault="001E3329" w:rsidP="001E3329"/>
    <w:p w14:paraId="53123943" w14:textId="77777777" w:rsidR="001E3329" w:rsidRDefault="001E3329" w:rsidP="001E3329"/>
    <w:p w14:paraId="7D2BACE2" w14:textId="77777777" w:rsidR="001E3329" w:rsidRDefault="001E3329" w:rsidP="001E3329"/>
    <w:p w14:paraId="0F944960" w14:textId="2AB5B7E1" w:rsidR="001E3329" w:rsidRPr="001E3329" w:rsidRDefault="001E3329" w:rsidP="001E3329"/>
    <w:p w14:paraId="285C9F6B" w14:textId="77777777" w:rsidR="00A119F0" w:rsidRPr="00A119F0" w:rsidRDefault="00A119F0" w:rsidP="00A119F0">
      <w:pPr>
        <w:pStyle w:val="Caption"/>
        <w:ind w:left="720"/>
        <w:jc w:val="both"/>
        <w:rPr>
          <w:noProof/>
          <w:color w:val="auto"/>
          <w:spacing w:val="-1"/>
          <w:sz w:val="20"/>
          <w:szCs w:val="20"/>
        </w:rPr>
      </w:pPr>
      <w:r w:rsidRPr="00A119F0">
        <w:rPr>
          <w:color w:val="auto"/>
        </w:rPr>
        <w:t xml:space="preserve">Figure 7 Charging </w:t>
      </w:r>
      <w:proofErr w:type="gramStart"/>
      <w:r w:rsidRPr="00A119F0">
        <w:rPr>
          <w:color w:val="auto"/>
        </w:rPr>
        <w:t>Capacity</w:t>
      </w:r>
      <w:proofErr w:type="gramEnd"/>
      <w:r w:rsidRPr="00A119F0">
        <w:rPr>
          <w:color w:val="auto"/>
        </w:rPr>
        <w:t xml:space="preserve"> on Prototype </w:t>
      </w:r>
    </w:p>
    <w:p w14:paraId="21575279" w14:textId="752B441C" w:rsidR="00BD7F38" w:rsidRDefault="00BD7F38" w:rsidP="00BD7F38">
      <w:pPr>
        <w:pStyle w:val="ListParagraph"/>
        <w:numPr>
          <w:ilvl w:val="0"/>
          <w:numId w:val="31"/>
        </w:numPr>
        <w:jc w:val="both"/>
      </w:pPr>
      <w:r>
        <w:t>Charging Throughput</w:t>
      </w:r>
    </w:p>
    <w:p w14:paraId="6331ED70" w14:textId="02148D04" w:rsidR="00BD7F38" w:rsidRDefault="00BD7F38" w:rsidP="00BD7F38">
      <w:pPr>
        <w:jc w:val="both"/>
      </w:pPr>
    </w:p>
    <w:p w14:paraId="74BB63F8" w14:textId="791F9E14" w:rsidR="00BD7F38" w:rsidRDefault="00BD7F38" w:rsidP="00BD7F38">
      <w:pPr>
        <w:pStyle w:val="Heading2"/>
      </w:pPr>
      <w:r>
        <w:t>Stratergies</w:t>
      </w:r>
    </w:p>
    <w:p w14:paraId="49D208ED" w14:textId="77777777" w:rsidR="001E3329" w:rsidRDefault="001E3329" w:rsidP="00BD7F38">
      <w:pPr>
        <w:ind w:firstLine="288"/>
        <w:jc w:val="both"/>
        <w:rPr>
          <w:rFonts w:eastAsia="Roboto Mono"/>
        </w:rPr>
      </w:pPr>
    </w:p>
    <w:p w14:paraId="716693B5" w14:textId="0938A9D9" w:rsidR="00BD7F38" w:rsidRPr="00070D34" w:rsidRDefault="00BD7F38" w:rsidP="00BD7F38">
      <w:pPr>
        <w:ind w:firstLine="288"/>
        <w:jc w:val="both"/>
        <w:rPr>
          <w:rFonts w:eastAsia="Roboto Mono"/>
        </w:rPr>
      </w:pPr>
      <w:r w:rsidRPr="00070D34">
        <w:rPr>
          <w:rFonts w:eastAsia="Roboto Mono"/>
        </w:rPr>
        <w:t xml:space="preserve">Charging efficiency was further </w:t>
      </w:r>
      <w:r>
        <w:rPr>
          <w:rFonts w:eastAsia="Roboto Mono"/>
        </w:rPr>
        <w:t>optimized</w:t>
      </w:r>
      <w:r w:rsidRPr="00070D34">
        <w:rPr>
          <w:rFonts w:eastAsia="Roboto Mono"/>
        </w:rPr>
        <w:t xml:space="preserve"> through the implementation of intelligent charging algorithms and adaptive power management techniques, ensuring optimal energy </w:t>
      </w:r>
      <w:r>
        <w:rPr>
          <w:rFonts w:eastAsia="Roboto Mono"/>
        </w:rPr>
        <w:t>utilization</w:t>
      </w:r>
      <w:r w:rsidRPr="00070D34">
        <w:rPr>
          <w:rFonts w:eastAsia="Roboto Mono"/>
        </w:rPr>
        <w:t xml:space="preserve"> and device compatibility.</w:t>
      </w:r>
    </w:p>
    <w:p w14:paraId="0C8EDC1D" w14:textId="1DFCC156" w:rsidR="00BD7F38" w:rsidRPr="00BD7F38" w:rsidRDefault="00BD7F38" w:rsidP="00BD7F38"/>
    <w:p w14:paraId="0A91B7A6" w14:textId="314FCC3C" w:rsidR="00BD7F38" w:rsidRDefault="00BD7F38" w:rsidP="00BD7F38">
      <w:pPr>
        <w:pStyle w:val="Heading2"/>
      </w:pPr>
      <w:r>
        <w:t>Economic Feasibility Analysis</w:t>
      </w:r>
    </w:p>
    <w:p w14:paraId="0F200E82" w14:textId="6E8F5AC9" w:rsidR="00BD7F38" w:rsidRDefault="00BD7F38" w:rsidP="00BD7F38">
      <w:pPr>
        <w:pStyle w:val="ListParagraph"/>
        <w:numPr>
          <w:ilvl w:val="0"/>
          <w:numId w:val="33"/>
        </w:numPr>
        <w:jc w:val="both"/>
      </w:pPr>
      <w:r>
        <w:t xml:space="preserve">Cost Savings </w:t>
      </w:r>
    </w:p>
    <w:p w14:paraId="5AB67BA2" w14:textId="29B765FD" w:rsidR="00BD7F38" w:rsidRDefault="001E3329" w:rsidP="00BD7F38">
      <w:pPr>
        <w:spacing w:after="120"/>
        <w:ind w:left="360" w:firstLine="360"/>
        <w:jc w:val="both"/>
        <w:rPr>
          <w:rFonts w:eastAsia="Roboto Mono"/>
        </w:rPr>
      </w:pPr>
      <w:r w:rsidRPr="00BD7F38">
        <w:rPr>
          <w:rFonts w:eastAsia="Roboto Mono"/>
          <w:noProof/>
          <w:sz w:val="18"/>
          <w:szCs w:val="18"/>
        </w:rPr>
        <w:drawing>
          <wp:anchor distT="0" distB="0" distL="114300" distR="114300" simplePos="0" relativeHeight="251673600" behindDoc="1" locked="0" layoutInCell="1" allowOverlap="1" wp14:anchorId="5A96DCE4" wp14:editId="75247DE2">
            <wp:simplePos x="0" y="0"/>
            <wp:positionH relativeFrom="column">
              <wp:posOffset>-3169285</wp:posOffset>
            </wp:positionH>
            <wp:positionV relativeFrom="paragraph">
              <wp:posOffset>271780</wp:posOffset>
            </wp:positionV>
            <wp:extent cx="2724150" cy="1492250"/>
            <wp:effectExtent l="0" t="0" r="0" b="0"/>
            <wp:wrapTight wrapText="bothSides">
              <wp:wrapPolygon edited="0">
                <wp:start x="0" y="0"/>
                <wp:lineTo x="0" y="21232"/>
                <wp:lineTo x="21449" y="21232"/>
                <wp:lineTo x="21449" y="0"/>
                <wp:lineTo x="0" y="0"/>
              </wp:wrapPolygon>
            </wp:wrapTight>
            <wp:docPr id="329795463" name="Picture 1"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5463" name="Picture 1" descr="A graph with a green line&#10;&#10;Description automatically generated"/>
                    <pic:cNvPicPr/>
                  </pic:nvPicPr>
                  <pic:blipFill rotWithShape="1">
                    <a:blip r:embed="rId19">
                      <a:extLst>
                        <a:ext uri="{28A0092B-C50C-407E-A947-70E740481C1C}">
                          <a14:useLocalDpi xmlns:a14="http://schemas.microsoft.com/office/drawing/2010/main" val="0"/>
                        </a:ext>
                      </a:extLst>
                    </a:blip>
                    <a:srcRect l="1415" t="3799" r="2783" b="3498"/>
                    <a:stretch/>
                  </pic:blipFill>
                  <pic:spPr bwMode="auto">
                    <a:xfrm>
                      <a:off x="0" y="0"/>
                      <a:ext cx="272415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F38" w:rsidRPr="00BD7F38">
        <w:rPr>
          <w:rFonts w:eastAsia="Roboto Mono"/>
        </w:rPr>
        <w:t>The economic analysis revealed substantial cost savings over the operational lifespan of the charging station prototype. Projected electricity cost savings amounted to ₹1,000,000 INR over 10 years, demonstrating the economic viability of solar-powered charging infrastructure.</w:t>
      </w:r>
    </w:p>
    <w:p w14:paraId="1259CFF8" w14:textId="77777777" w:rsidR="001E3329" w:rsidRPr="001E3329" w:rsidRDefault="001E3329" w:rsidP="001E3329">
      <w:pPr>
        <w:pStyle w:val="Caption"/>
        <w:rPr>
          <w:color w:val="auto"/>
        </w:rPr>
      </w:pPr>
      <w:r w:rsidRPr="001E3329">
        <w:rPr>
          <w:color w:val="auto"/>
        </w:rPr>
        <w:t>Table 1 Comparison of Various Fuels for Stations</w:t>
      </w:r>
    </w:p>
    <w:tbl>
      <w:tblPr>
        <w:tblStyle w:val="TableGrid1"/>
        <w:tblW w:w="0" w:type="auto"/>
        <w:tblInd w:w="198" w:type="dxa"/>
        <w:tblLayout w:type="fixed"/>
        <w:tblLook w:val="04A0" w:firstRow="1" w:lastRow="0" w:firstColumn="1" w:lastColumn="0" w:noHBand="0" w:noVBand="1"/>
      </w:tblPr>
      <w:tblGrid>
        <w:gridCol w:w="737"/>
        <w:gridCol w:w="914"/>
        <w:gridCol w:w="1006"/>
        <w:gridCol w:w="251"/>
        <w:gridCol w:w="692"/>
        <w:gridCol w:w="1181"/>
      </w:tblGrid>
      <w:tr w:rsidR="003E1510" w:rsidRPr="00BD7F38" w14:paraId="08F07E1F" w14:textId="77777777" w:rsidTr="001E3329">
        <w:trPr>
          <w:trHeight w:val="425"/>
        </w:trPr>
        <w:tc>
          <w:tcPr>
            <w:tcW w:w="737" w:type="dxa"/>
          </w:tcPr>
          <w:p w14:paraId="10FF57C3" w14:textId="77777777" w:rsidR="00BD7F38" w:rsidRPr="00BD7F38" w:rsidRDefault="00BD7F38" w:rsidP="00BD7F38">
            <w:pPr>
              <w:jc w:val="both"/>
              <w:rPr>
                <w:rFonts w:eastAsia="Roboto Mono"/>
                <w:b/>
                <w:bCs/>
                <w:sz w:val="20"/>
                <w:szCs w:val="20"/>
              </w:rPr>
            </w:pPr>
            <w:r w:rsidRPr="00BD7F38">
              <w:rPr>
                <w:rFonts w:eastAsia="Roboto Mono"/>
                <w:b/>
                <w:bCs/>
                <w:sz w:val="20"/>
                <w:szCs w:val="20"/>
              </w:rPr>
              <w:t>Aspect</w:t>
            </w:r>
          </w:p>
        </w:tc>
        <w:tc>
          <w:tcPr>
            <w:tcW w:w="914" w:type="dxa"/>
          </w:tcPr>
          <w:p w14:paraId="2ED68392" w14:textId="77777777" w:rsidR="00BD7F38" w:rsidRPr="00BD7F38" w:rsidRDefault="00BD7F38" w:rsidP="00BD7F38">
            <w:pPr>
              <w:jc w:val="both"/>
              <w:rPr>
                <w:rFonts w:eastAsia="Roboto Mono"/>
                <w:b/>
                <w:bCs/>
                <w:sz w:val="20"/>
                <w:szCs w:val="20"/>
              </w:rPr>
            </w:pPr>
            <w:r w:rsidRPr="00BD7F38">
              <w:rPr>
                <w:rFonts w:eastAsia="Roboto Mono"/>
                <w:b/>
                <w:bCs/>
                <w:sz w:val="20"/>
                <w:szCs w:val="20"/>
              </w:rPr>
              <w:t>Solar-Powered Charging Station</w:t>
            </w:r>
          </w:p>
        </w:tc>
        <w:tc>
          <w:tcPr>
            <w:tcW w:w="1257" w:type="dxa"/>
            <w:gridSpan w:val="2"/>
          </w:tcPr>
          <w:p w14:paraId="76824690" w14:textId="77777777" w:rsidR="00BD7F38" w:rsidRPr="00BD7F38" w:rsidRDefault="00BD7F38" w:rsidP="00BD7F38">
            <w:pPr>
              <w:jc w:val="both"/>
              <w:rPr>
                <w:rFonts w:eastAsia="Roboto Mono"/>
                <w:b/>
                <w:bCs/>
                <w:sz w:val="20"/>
                <w:szCs w:val="20"/>
              </w:rPr>
            </w:pPr>
            <w:r w:rsidRPr="00BD7F38">
              <w:rPr>
                <w:rFonts w:eastAsia="Roboto Mono"/>
                <w:b/>
                <w:bCs/>
                <w:sz w:val="20"/>
                <w:szCs w:val="20"/>
              </w:rPr>
              <w:t>Grid-Powered Stations</w:t>
            </w:r>
          </w:p>
        </w:tc>
        <w:tc>
          <w:tcPr>
            <w:tcW w:w="1873" w:type="dxa"/>
            <w:gridSpan w:val="2"/>
          </w:tcPr>
          <w:p w14:paraId="7ED9E9EF" w14:textId="0F58D0F5" w:rsidR="00BD7F38" w:rsidRPr="00BD7F38" w:rsidRDefault="00BD7F38" w:rsidP="00BD7F38">
            <w:pPr>
              <w:jc w:val="both"/>
              <w:rPr>
                <w:rFonts w:eastAsia="Roboto Mono"/>
                <w:b/>
                <w:bCs/>
                <w:sz w:val="20"/>
                <w:szCs w:val="20"/>
              </w:rPr>
            </w:pPr>
            <w:r w:rsidRPr="00BD7F38">
              <w:rPr>
                <w:rFonts w:eastAsia="Roboto Mono"/>
                <w:b/>
                <w:bCs/>
                <w:sz w:val="20"/>
                <w:szCs w:val="20"/>
              </w:rPr>
              <w:t>Diesel Generator-Powered Stations</w:t>
            </w:r>
          </w:p>
        </w:tc>
      </w:tr>
      <w:tr w:rsidR="003E1510" w:rsidRPr="00BD7F38" w14:paraId="4C2D6EC0" w14:textId="77777777" w:rsidTr="001E3329">
        <w:trPr>
          <w:trHeight w:val="416"/>
        </w:trPr>
        <w:tc>
          <w:tcPr>
            <w:tcW w:w="1651" w:type="dxa"/>
            <w:gridSpan w:val="2"/>
          </w:tcPr>
          <w:p w14:paraId="0D232E53" w14:textId="77777777" w:rsidR="00BD7F38" w:rsidRPr="00BD7F38" w:rsidRDefault="00BD7F38" w:rsidP="00BD7F38">
            <w:pPr>
              <w:jc w:val="left"/>
              <w:rPr>
                <w:rFonts w:eastAsia="Roboto Mono"/>
                <w:sz w:val="20"/>
                <w:szCs w:val="20"/>
              </w:rPr>
            </w:pPr>
            <w:r w:rsidRPr="00BD7F38">
              <w:rPr>
                <w:rFonts w:eastAsia="Roboto Mono"/>
                <w:sz w:val="20"/>
                <w:szCs w:val="20"/>
              </w:rPr>
              <w:t>Initial Investment (INR)</w:t>
            </w:r>
          </w:p>
        </w:tc>
        <w:tc>
          <w:tcPr>
            <w:tcW w:w="1006" w:type="dxa"/>
          </w:tcPr>
          <w:p w14:paraId="19B4EF6F" w14:textId="77777777" w:rsidR="00BD7F38" w:rsidRPr="00BD7F38" w:rsidRDefault="00BD7F38" w:rsidP="00BD7F38">
            <w:pPr>
              <w:jc w:val="left"/>
              <w:rPr>
                <w:rFonts w:eastAsia="Roboto Mono"/>
                <w:sz w:val="20"/>
                <w:szCs w:val="20"/>
              </w:rPr>
            </w:pPr>
            <w:r w:rsidRPr="00BD7F38">
              <w:rPr>
                <w:rFonts w:eastAsia="Roboto Mono"/>
                <w:sz w:val="20"/>
                <w:szCs w:val="20"/>
              </w:rPr>
              <w:t>Higher (Rs 1,500,000 –Rs 2,000,000)</w:t>
            </w:r>
          </w:p>
        </w:tc>
        <w:tc>
          <w:tcPr>
            <w:tcW w:w="943" w:type="dxa"/>
            <w:gridSpan w:val="2"/>
          </w:tcPr>
          <w:p w14:paraId="4D524187" w14:textId="77777777" w:rsidR="00BD7F38" w:rsidRPr="00BD7F38" w:rsidRDefault="00BD7F38" w:rsidP="00BD7F38">
            <w:pPr>
              <w:jc w:val="left"/>
              <w:rPr>
                <w:rFonts w:eastAsia="Roboto Mono"/>
                <w:sz w:val="20"/>
                <w:szCs w:val="20"/>
              </w:rPr>
            </w:pPr>
            <w:r w:rsidRPr="00BD7F38">
              <w:rPr>
                <w:rFonts w:eastAsia="Roboto Mono"/>
                <w:sz w:val="20"/>
                <w:szCs w:val="20"/>
              </w:rPr>
              <w:t>Moderate (Rs 500,000 - Rs 1,000,000/-)</w:t>
            </w:r>
          </w:p>
        </w:tc>
        <w:tc>
          <w:tcPr>
            <w:tcW w:w="1181" w:type="dxa"/>
          </w:tcPr>
          <w:p w14:paraId="67A8A777" w14:textId="79896979" w:rsidR="00BD7F38" w:rsidRPr="00BD7F38" w:rsidRDefault="00BD7F38" w:rsidP="00BD7F38">
            <w:pPr>
              <w:jc w:val="left"/>
              <w:rPr>
                <w:rFonts w:eastAsia="Roboto Mono"/>
                <w:sz w:val="20"/>
                <w:szCs w:val="20"/>
              </w:rPr>
            </w:pPr>
            <w:r w:rsidRPr="00BD7F38">
              <w:rPr>
                <w:rFonts w:eastAsia="Roboto Mono"/>
                <w:sz w:val="20"/>
                <w:szCs w:val="20"/>
              </w:rPr>
              <w:t>Lower (Rs 300,000 - Rs 600,000)</w:t>
            </w:r>
          </w:p>
        </w:tc>
      </w:tr>
      <w:tr w:rsidR="003E1510" w:rsidRPr="00BD7F38" w14:paraId="09F9B1DA" w14:textId="77777777" w:rsidTr="001E3329">
        <w:trPr>
          <w:trHeight w:val="408"/>
        </w:trPr>
        <w:tc>
          <w:tcPr>
            <w:tcW w:w="1651" w:type="dxa"/>
            <w:gridSpan w:val="2"/>
          </w:tcPr>
          <w:p w14:paraId="05FE9285" w14:textId="77777777" w:rsidR="00BD7F38" w:rsidRPr="00BD7F38" w:rsidRDefault="00BD7F38" w:rsidP="00BD7F38">
            <w:pPr>
              <w:jc w:val="left"/>
              <w:rPr>
                <w:rFonts w:eastAsia="Roboto Mono"/>
                <w:sz w:val="20"/>
                <w:szCs w:val="20"/>
              </w:rPr>
            </w:pPr>
            <w:r w:rsidRPr="00BD7F38">
              <w:rPr>
                <w:rFonts w:eastAsia="Roboto Mono"/>
                <w:sz w:val="20"/>
                <w:szCs w:val="20"/>
              </w:rPr>
              <w:t>Operational costs (INR/year)</w:t>
            </w:r>
          </w:p>
        </w:tc>
        <w:tc>
          <w:tcPr>
            <w:tcW w:w="1006" w:type="dxa"/>
          </w:tcPr>
          <w:p w14:paraId="1247B8D5" w14:textId="77777777" w:rsidR="00BD7F38" w:rsidRPr="00BD7F38" w:rsidRDefault="00BD7F38" w:rsidP="00BD7F38">
            <w:pPr>
              <w:jc w:val="left"/>
              <w:rPr>
                <w:rFonts w:eastAsia="Roboto Mono"/>
                <w:sz w:val="20"/>
                <w:szCs w:val="20"/>
              </w:rPr>
            </w:pPr>
            <w:r w:rsidRPr="00BD7F38">
              <w:rPr>
                <w:rFonts w:eastAsia="Roboto Mono"/>
                <w:sz w:val="20"/>
                <w:szCs w:val="20"/>
              </w:rPr>
              <w:t>Lower (Rs. 100,000 – Rs 150,000)</w:t>
            </w:r>
          </w:p>
        </w:tc>
        <w:tc>
          <w:tcPr>
            <w:tcW w:w="943" w:type="dxa"/>
            <w:gridSpan w:val="2"/>
          </w:tcPr>
          <w:p w14:paraId="648A85EA" w14:textId="77777777" w:rsidR="00BD7F38" w:rsidRPr="00BD7F38" w:rsidRDefault="00BD7F38" w:rsidP="00BD7F38">
            <w:pPr>
              <w:jc w:val="left"/>
              <w:rPr>
                <w:rFonts w:eastAsia="Roboto Mono"/>
                <w:sz w:val="20"/>
                <w:szCs w:val="20"/>
              </w:rPr>
            </w:pPr>
            <w:r w:rsidRPr="00BD7F38">
              <w:rPr>
                <w:rFonts w:eastAsia="Roboto Mono"/>
                <w:sz w:val="20"/>
                <w:szCs w:val="20"/>
              </w:rPr>
              <w:t>Moderate (Rs. 200,000 – Rs. 250,000)</w:t>
            </w:r>
          </w:p>
        </w:tc>
        <w:tc>
          <w:tcPr>
            <w:tcW w:w="1181" w:type="dxa"/>
          </w:tcPr>
          <w:p w14:paraId="3140473D" w14:textId="23BCB3DA" w:rsidR="00BD7F38" w:rsidRPr="00BD7F38" w:rsidRDefault="00BD7F38" w:rsidP="00BD7F38">
            <w:pPr>
              <w:jc w:val="left"/>
              <w:rPr>
                <w:rFonts w:eastAsia="Roboto Mono"/>
                <w:sz w:val="20"/>
                <w:szCs w:val="20"/>
              </w:rPr>
            </w:pPr>
            <w:r w:rsidRPr="00BD7F38">
              <w:rPr>
                <w:rFonts w:eastAsia="Roboto Mono"/>
                <w:sz w:val="20"/>
                <w:szCs w:val="20"/>
              </w:rPr>
              <w:t>Higher (Rs. 20,000 - Rs 300,000)</w:t>
            </w:r>
          </w:p>
        </w:tc>
      </w:tr>
      <w:tr w:rsidR="003E1510" w:rsidRPr="00BD7F38" w14:paraId="43CB27C9" w14:textId="77777777" w:rsidTr="001E3329">
        <w:trPr>
          <w:trHeight w:val="415"/>
        </w:trPr>
        <w:tc>
          <w:tcPr>
            <w:tcW w:w="1651" w:type="dxa"/>
            <w:gridSpan w:val="2"/>
          </w:tcPr>
          <w:p w14:paraId="4B289EA2" w14:textId="372D9508" w:rsidR="00BD7F38" w:rsidRPr="00BD7F38" w:rsidRDefault="00BD7F38" w:rsidP="00BD7F38">
            <w:pPr>
              <w:jc w:val="left"/>
              <w:rPr>
                <w:rFonts w:eastAsia="Roboto Mono"/>
                <w:sz w:val="20"/>
                <w:szCs w:val="20"/>
              </w:rPr>
            </w:pPr>
            <w:r w:rsidRPr="00BD7F38">
              <w:rPr>
                <w:rFonts w:eastAsia="Roboto Mono"/>
                <w:sz w:val="20"/>
                <w:szCs w:val="20"/>
              </w:rPr>
              <w:t>Return on Investment (ROI)</w:t>
            </w:r>
          </w:p>
        </w:tc>
        <w:tc>
          <w:tcPr>
            <w:tcW w:w="1006" w:type="dxa"/>
          </w:tcPr>
          <w:p w14:paraId="705A8DA8" w14:textId="6B8CA276" w:rsidR="00BD7F38" w:rsidRPr="00BD7F38" w:rsidRDefault="00BD7F38" w:rsidP="00BD7F38">
            <w:pPr>
              <w:jc w:val="left"/>
              <w:rPr>
                <w:rFonts w:eastAsia="Roboto Mono"/>
                <w:sz w:val="20"/>
                <w:szCs w:val="20"/>
              </w:rPr>
            </w:pPr>
            <w:r w:rsidRPr="00BD7F38">
              <w:rPr>
                <w:rFonts w:eastAsia="Roboto Mono"/>
                <w:sz w:val="20"/>
                <w:szCs w:val="20"/>
              </w:rPr>
              <w:t>15-20% over 10 years</w:t>
            </w:r>
          </w:p>
        </w:tc>
        <w:tc>
          <w:tcPr>
            <w:tcW w:w="943" w:type="dxa"/>
            <w:gridSpan w:val="2"/>
          </w:tcPr>
          <w:p w14:paraId="5CF959F2" w14:textId="176BD5D9" w:rsidR="00BD7F38" w:rsidRPr="00BD7F38" w:rsidRDefault="00BD7F38" w:rsidP="00BD7F38">
            <w:pPr>
              <w:jc w:val="left"/>
              <w:rPr>
                <w:rFonts w:eastAsia="Roboto Mono"/>
                <w:sz w:val="20"/>
                <w:szCs w:val="20"/>
              </w:rPr>
            </w:pPr>
            <w:r w:rsidRPr="00BD7F38">
              <w:rPr>
                <w:rFonts w:eastAsia="Roboto Mono"/>
                <w:sz w:val="20"/>
                <w:szCs w:val="20"/>
              </w:rPr>
              <w:t>Varies (5-15% over 10 years)</w:t>
            </w:r>
          </w:p>
        </w:tc>
        <w:tc>
          <w:tcPr>
            <w:tcW w:w="1181" w:type="dxa"/>
          </w:tcPr>
          <w:p w14:paraId="64FC72C0" w14:textId="07CB7739" w:rsidR="00BD7F38" w:rsidRPr="00BD7F38" w:rsidRDefault="00BD7F38" w:rsidP="00BD7F38">
            <w:pPr>
              <w:jc w:val="left"/>
              <w:rPr>
                <w:rFonts w:eastAsia="Roboto Mono"/>
                <w:sz w:val="20"/>
                <w:szCs w:val="20"/>
              </w:rPr>
            </w:pPr>
            <w:r w:rsidRPr="00BD7F38">
              <w:rPr>
                <w:rFonts w:eastAsia="Roboto Mono"/>
                <w:sz w:val="20"/>
                <w:szCs w:val="20"/>
              </w:rPr>
              <w:t xml:space="preserve">Dependent on fuel prices and generator </w:t>
            </w:r>
            <w:r w:rsidRPr="00BD7F38">
              <w:rPr>
                <w:rFonts w:eastAsia="Roboto Mono"/>
                <w:sz w:val="20"/>
                <w:szCs w:val="20"/>
              </w:rPr>
              <w:lastRenderedPageBreak/>
              <w:t>efficiency</w:t>
            </w:r>
          </w:p>
        </w:tc>
      </w:tr>
      <w:tr w:rsidR="003E1510" w:rsidRPr="00BD7F38" w14:paraId="0FFC0D3F" w14:textId="77777777" w:rsidTr="001E3329">
        <w:trPr>
          <w:trHeight w:val="421"/>
        </w:trPr>
        <w:tc>
          <w:tcPr>
            <w:tcW w:w="1651" w:type="dxa"/>
            <w:gridSpan w:val="2"/>
          </w:tcPr>
          <w:p w14:paraId="63C22368" w14:textId="0A08E42E" w:rsidR="00BD7F38" w:rsidRPr="00BD7F38" w:rsidRDefault="00BD7F38" w:rsidP="00BD7F38">
            <w:pPr>
              <w:jc w:val="left"/>
              <w:rPr>
                <w:rFonts w:eastAsia="Roboto Mono"/>
                <w:sz w:val="20"/>
                <w:szCs w:val="20"/>
              </w:rPr>
            </w:pPr>
            <w:r w:rsidRPr="00BD7F38">
              <w:rPr>
                <w:rFonts w:eastAsia="Roboto Mono"/>
                <w:sz w:val="20"/>
                <w:szCs w:val="20"/>
              </w:rPr>
              <w:lastRenderedPageBreak/>
              <w:t>Carbon Emissions (kg CO2/year)</w:t>
            </w:r>
          </w:p>
        </w:tc>
        <w:tc>
          <w:tcPr>
            <w:tcW w:w="1006" w:type="dxa"/>
          </w:tcPr>
          <w:p w14:paraId="29D5415F" w14:textId="27185467" w:rsidR="00BD7F38" w:rsidRPr="00BD7F38" w:rsidRDefault="00BD7F38" w:rsidP="00BD7F38">
            <w:pPr>
              <w:jc w:val="left"/>
              <w:rPr>
                <w:rFonts w:eastAsia="Roboto Mono"/>
                <w:sz w:val="20"/>
                <w:szCs w:val="20"/>
              </w:rPr>
            </w:pPr>
            <w:r w:rsidRPr="00BD7F38">
              <w:rPr>
                <w:rFonts w:eastAsia="Roboto Mono"/>
                <w:sz w:val="20"/>
                <w:szCs w:val="20"/>
              </w:rPr>
              <w:t>2,000 – 3,000</w:t>
            </w:r>
          </w:p>
        </w:tc>
        <w:tc>
          <w:tcPr>
            <w:tcW w:w="943" w:type="dxa"/>
            <w:gridSpan w:val="2"/>
          </w:tcPr>
          <w:p w14:paraId="7539A543" w14:textId="0DE91413" w:rsidR="00BD7F38" w:rsidRPr="00BD7F38" w:rsidRDefault="00BD7F38" w:rsidP="00BD7F38">
            <w:pPr>
              <w:jc w:val="left"/>
              <w:rPr>
                <w:rFonts w:eastAsia="Roboto Mono"/>
                <w:sz w:val="20"/>
                <w:szCs w:val="20"/>
              </w:rPr>
            </w:pPr>
            <w:r w:rsidRPr="00BD7F38">
              <w:rPr>
                <w:rFonts w:eastAsia="Roboto Mono"/>
                <w:sz w:val="20"/>
                <w:szCs w:val="20"/>
              </w:rPr>
              <w:t>5,000 – 6,000</w:t>
            </w:r>
          </w:p>
        </w:tc>
        <w:tc>
          <w:tcPr>
            <w:tcW w:w="1181" w:type="dxa"/>
          </w:tcPr>
          <w:p w14:paraId="3F85EDAE" w14:textId="77777777" w:rsidR="00BD7F38" w:rsidRPr="00BD7F38" w:rsidRDefault="00BD7F38" w:rsidP="00BD7F38">
            <w:pPr>
              <w:jc w:val="left"/>
              <w:rPr>
                <w:rFonts w:eastAsia="Roboto Mono"/>
                <w:sz w:val="20"/>
                <w:szCs w:val="20"/>
              </w:rPr>
            </w:pPr>
            <w:r w:rsidRPr="00BD7F38">
              <w:rPr>
                <w:rFonts w:eastAsia="Roboto Mono"/>
                <w:sz w:val="20"/>
                <w:szCs w:val="20"/>
              </w:rPr>
              <w:t>10,000 – 12,000</w:t>
            </w:r>
          </w:p>
        </w:tc>
      </w:tr>
      <w:tr w:rsidR="003E1510" w:rsidRPr="00BD7F38" w14:paraId="4E4E320F" w14:textId="77777777" w:rsidTr="001E3329">
        <w:trPr>
          <w:trHeight w:val="270"/>
        </w:trPr>
        <w:tc>
          <w:tcPr>
            <w:tcW w:w="1651" w:type="dxa"/>
            <w:gridSpan w:val="2"/>
          </w:tcPr>
          <w:p w14:paraId="5394E5FA" w14:textId="4B47C66E" w:rsidR="00BD7F38" w:rsidRPr="00BD7F38" w:rsidRDefault="00BD7F38" w:rsidP="00BD7F38">
            <w:pPr>
              <w:jc w:val="left"/>
              <w:rPr>
                <w:rFonts w:eastAsia="Roboto Mono"/>
                <w:sz w:val="20"/>
                <w:szCs w:val="20"/>
              </w:rPr>
            </w:pPr>
            <w:r w:rsidRPr="00BD7F38">
              <w:rPr>
                <w:rFonts w:eastAsia="Roboto Mono"/>
                <w:sz w:val="20"/>
                <w:szCs w:val="20"/>
              </w:rPr>
              <w:t>Lifespan (years)</w:t>
            </w:r>
          </w:p>
        </w:tc>
        <w:tc>
          <w:tcPr>
            <w:tcW w:w="1006" w:type="dxa"/>
          </w:tcPr>
          <w:p w14:paraId="12479B96" w14:textId="6EA0CDCF" w:rsidR="00BD7F38" w:rsidRPr="00BD7F38" w:rsidRDefault="00BD7F38" w:rsidP="00BD7F38">
            <w:pPr>
              <w:jc w:val="left"/>
              <w:rPr>
                <w:rFonts w:eastAsia="Roboto Mono"/>
                <w:sz w:val="20"/>
                <w:szCs w:val="20"/>
              </w:rPr>
            </w:pPr>
            <w:r w:rsidRPr="00BD7F38">
              <w:rPr>
                <w:rFonts w:eastAsia="Roboto Mono"/>
                <w:sz w:val="20"/>
                <w:szCs w:val="20"/>
              </w:rPr>
              <w:t>20-25</w:t>
            </w:r>
          </w:p>
        </w:tc>
        <w:tc>
          <w:tcPr>
            <w:tcW w:w="943" w:type="dxa"/>
            <w:gridSpan w:val="2"/>
          </w:tcPr>
          <w:p w14:paraId="60289551" w14:textId="19437172" w:rsidR="00BD7F38" w:rsidRPr="00BD7F38" w:rsidRDefault="00BD7F38" w:rsidP="00BD7F38">
            <w:pPr>
              <w:jc w:val="left"/>
              <w:rPr>
                <w:rFonts w:eastAsia="Roboto Mono"/>
                <w:sz w:val="20"/>
                <w:szCs w:val="20"/>
              </w:rPr>
            </w:pPr>
            <w:r w:rsidRPr="00BD7F38">
              <w:rPr>
                <w:rFonts w:eastAsia="Roboto Mono"/>
                <w:sz w:val="20"/>
                <w:szCs w:val="20"/>
              </w:rPr>
              <w:t>15- 20</w:t>
            </w:r>
          </w:p>
        </w:tc>
        <w:tc>
          <w:tcPr>
            <w:tcW w:w="1181" w:type="dxa"/>
          </w:tcPr>
          <w:p w14:paraId="0FF53DBD" w14:textId="77777777" w:rsidR="00BD7F38" w:rsidRPr="00BD7F38" w:rsidRDefault="00BD7F38" w:rsidP="00BD7F38">
            <w:pPr>
              <w:jc w:val="left"/>
              <w:rPr>
                <w:rFonts w:eastAsia="Roboto Mono"/>
                <w:sz w:val="20"/>
                <w:szCs w:val="20"/>
              </w:rPr>
            </w:pPr>
            <w:r w:rsidRPr="00BD7F38">
              <w:rPr>
                <w:rFonts w:eastAsia="Roboto Mono"/>
                <w:sz w:val="20"/>
                <w:szCs w:val="20"/>
              </w:rPr>
              <w:t>10-15</w:t>
            </w:r>
          </w:p>
        </w:tc>
      </w:tr>
      <w:tr w:rsidR="003E1510" w:rsidRPr="00BD7F38" w14:paraId="3AB97DE9" w14:textId="77777777" w:rsidTr="001E3329">
        <w:trPr>
          <w:trHeight w:val="403"/>
        </w:trPr>
        <w:tc>
          <w:tcPr>
            <w:tcW w:w="1651" w:type="dxa"/>
            <w:gridSpan w:val="2"/>
          </w:tcPr>
          <w:p w14:paraId="28E33E58" w14:textId="06B24B05" w:rsidR="00BD7F38" w:rsidRPr="00BD7F38" w:rsidRDefault="00BD7F38" w:rsidP="00BD7F38">
            <w:pPr>
              <w:jc w:val="left"/>
              <w:rPr>
                <w:rFonts w:eastAsia="Roboto Mono"/>
                <w:sz w:val="20"/>
                <w:szCs w:val="20"/>
              </w:rPr>
            </w:pPr>
            <w:r w:rsidRPr="00BD7F38">
              <w:rPr>
                <w:rFonts w:eastAsia="Roboto Mono"/>
                <w:sz w:val="20"/>
                <w:szCs w:val="20"/>
              </w:rPr>
              <w:t>Noise Pollution (dBA)</w:t>
            </w:r>
          </w:p>
        </w:tc>
        <w:tc>
          <w:tcPr>
            <w:tcW w:w="1006" w:type="dxa"/>
          </w:tcPr>
          <w:p w14:paraId="30DB8817" w14:textId="25EFB69E" w:rsidR="00BD7F38" w:rsidRPr="00BD7F38" w:rsidRDefault="00BD7F38" w:rsidP="00BD7F38">
            <w:pPr>
              <w:jc w:val="left"/>
              <w:rPr>
                <w:rFonts w:eastAsia="Roboto Mono"/>
                <w:sz w:val="20"/>
                <w:szCs w:val="20"/>
              </w:rPr>
            </w:pPr>
            <w:r w:rsidRPr="00BD7F38">
              <w:rPr>
                <w:rFonts w:eastAsia="Roboto Mono"/>
                <w:sz w:val="20"/>
                <w:szCs w:val="20"/>
              </w:rPr>
              <w:t>Low (silent operation)</w:t>
            </w:r>
          </w:p>
        </w:tc>
        <w:tc>
          <w:tcPr>
            <w:tcW w:w="943" w:type="dxa"/>
            <w:gridSpan w:val="2"/>
          </w:tcPr>
          <w:p w14:paraId="7100B730" w14:textId="359C149F" w:rsidR="00BD7F38" w:rsidRPr="00BD7F38" w:rsidRDefault="00BD7F38" w:rsidP="00BD7F38">
            <w:pPr>
              <w:jc w:val="left"/>
              <w:rPr>
                <w:rFonts w:eastAsia="Roboto Mono"/>
                <w:sz w:val="20"/>
                <w:szCs w:val="20"/>
              </w:rPr>
            </w:pPr>
            <w:r w:rsidRPr="00BD7F38">
              <w:rPr>
                <w:rFonts w:eastAsia="Roboto Mono"/>
                <w:sz w:val="20"/>
                <w:szCs w:val="20"/>
              </w:rPr>
              <w:t>Low (no noise pollution from grid power)</w:t>
            </w:r>
          </w:p>
        </w:tc>
        <w:tc>
          <w:tcPr>
            <w:tcW w:w="1181" w:type="dxa"/>
          </w:tcPr>
          <w:p w14:paraId="4380AEAA" w14:textId="77777777" w:rsidR="00BD7F38" w:rsidRPr="00BD7F38" w:rsidRDefault="00BD7F38" w:rsidP="00BD7F38">
            <w:pPr>
              <w:jc w:val="left"/>
              <w:rPr>
                <w:rFonts w:eastAsia="Roboto Mono"/>
                <w:sz w:val="20"/>
                <w:szCs w:val="20"/>
              </w:rPr>
            </w:pPr>
            <w:r w:rsidRPr="00BD7F38">
              <w:rPr>
                <w:rFonts w:eastAsia="Roboto Mono"/>
                <w:sz w:val="20"/>
                <w:szCs w:val="20"/>
              </w:rPr>
              <w:t>Moderate (from generator operation)</w:t>
            </w:r>
          </w:p>
        </w:tc>
      </w:tr>
      <w:tr w:rsidR="003E1510" w:rsidRPr="00BD7F38" w14:paraId="2B205824" w14:textId="77777777" w:rsidTr="001E3329">
        <w:trPr>
          <w:trHeight w:val="267"/>
        </w:trPr>
        <w:tc>
          <w:tcPr>
            <w:tcW w:w="1651" w:type="dxa"/>
            <w:gridSpan w:val="2"/>
          </w:tcPr>
          <w:p w14:paraId="7920186D" w14:textId="4B564B83" w:rsidR="00BD7F38" w:rsidRPr="00BD7F38" w:rsidRDefault="00BD7F38" w:rsidP="00BD7F38">
            <w:pPr>
              <w:jc w:val="left"/>
              <w:rPr>
                <w:rFonts w:eastAsia="Roboto Mono"/>
                <w:sz w:val="20"/>
                <w:szCs w:val="20"/>
              </w:rPr>
            </w:pPr>
            <w:r w:rsidRPr="00BD7F38">
              <w:rPr>
                <w:rFonts w:eastAsia="Roboto Mono"/>
                <w:sz w:val="20"/>
                <w:szCs w:val="20"/>
              </w:rPr>
              <w:t>Energy Independence</w:t>
            </w:r>
          </w:p>
        </w:tc>
        <w:tc>
          <w:tcPr>
            <w:tcW w:w="1006" w:type="dxa"/>
          </w:tcPr>
          <w:p w14:paraId="5F56040F" w14:textId="1148D301" w:rsidR="00BD7F38" w:rsidRPr="00BD7F38" w:rsidRDefault="00BD7F38" w:rsidP="00BD7F38">
            <w:pPr>
              <w:jc w:val="left"/>
              <w:rPr>
                <w:rFonts w:eastAsia="Roboto Mono"/>
                <w:sz w:val="20"/>
                <w:szCs w:val="20"/>
              </w:rPr>
            </w:pPr>
            <w:r w:rsidRPr="00BD7F38">
              <w:rPr>
                <w:rFonts w:eastAsia="Roboto Mono"/>
                <w:sz w:val="20"/>
                <w:szCs w:val="20"/>
              </w:rPr>
              <w:t>90%</w:t>
            </w:r>
          </w:p>
        </w:tc>
        <w:tc>
          <w:tcPr>
            <w:tcW w:w="943" w:type="dxa"/>
            <w:gridSpan w:val="2"/>
          </w:tcPr>
          <w:p w14:paraId="01E69409" w14:textId="2B4613E6" w:rsidR="00BD7F38" w:rsidRPr="00BD7F38" w:rsidRDefault="00BD7F38" w:rsidP="00BD7F38">
            <w:pPr>
              <w:jc w:val="left"/>
              <w:rPr>
                <w:rFonts w:eastAsia="Roboto Mono"/>
                <w:sz w:val="20"/>
                <w:szCs w:val="20"/>
              </w:rPr>
            </w:pPr>
            <w:r w:rsidRPr="00BD7F38">
              <w:rPr>
                <w:rFonts w:eastAsia="Roboto Mono"/>
                <w:sz w:val="20"/>
                <w:szCs w:val="20"/>
              </w:rPr>
              <w:t>40%</w:t>
            </w:r>
          </w:p>
        </w:tc>
        <w:tc>
          <w:tcPr>
            <w:tcW w:w="1181" w:type="dxa"/>
          </w:tcPr>
          <w:p w14:paraId="05C9D5EB" w14:textId="3430806F" w:rsidR="00BD7F38" w:rsidRPr="00BD7F38" w:rsidRDefault="00BD7F38" w:rsidP="00BD7F38">
            <w:pPr>
              <w:jc w:val="left"/>
              <w:rPr>
                <w:rFonts w:eastAsia="Roboto Mono"/>
                <w:sz w:val="20"/>
                <w:szCs w:val="20"/>
              </w:rPr>
            </w:pPr>
            <w:r w:rsidRPr="00BD7F38">
              <w:rPr>
                <w:rFonts w:eastAsia="Roboto Mono"/>
                <w:sz w:val="20"/>
                <w:szCs w:val="20"/>
              </w:rPr>
              <w:t>20%</w:t>
            </w:r>
          </w:p>
        </w:tc>
      </w:tr>
    </w:tbl>
    <w:p w14:paraId="4E477601" w14:textId="665F1A97" w:rsidR="00BD7F38" w:rsidRDefault="00BD7F38" w:rsidP="00BD7F38">
      <w:pPr>
        <w:ind w:left="360"/>
        <w:jc w:val="both"/>
      </w:pPr>
    </w:p>
    <w:p w14:paraId="2529EDBB" w14:textId="63A9B61C" w:rsidR="003E1510" w:rsidRDefault="003E1510" w:rsidP="00A119F0">
      <w:pPr>
        <w:jc w:val="both"/>
      </w:pPr>
    </w:p>
    <w:p w14:paraId="7B052382" w14:textId="2BB63869" w:rsidR="003E1510" w:rsidRDefault="003E1510" w:rsidP="003E1510">
      <w:pPr>
        <w:pStyle w:val="ListParagraph"/>
        <w:numPr>
          <w:ilvl w:val="0"/>
          <w:numId w:val="33"/>
        </w:numPr>
        <w:jc w:val="both"/>
      </w:pPr>
      <w:r>
        <w:t xml:space="preserve">Return on Investment </w:t>
      </w:r>
    </w:p>
    <w:p w14:paraId="0F269DE1" w14:textId="60DD5694" w:rsidR="003E1510" w:rsidRDefault="003E1510" w:rsidP="003E1510">
      <w:pPr>
        <w:pStyle w:val="ListParagraph"/>
        <w:jc w:val="both"/>
      </w:pPr>
    </w:p>
    <w:p w14:paraId="2C047F51" w14:textId="00F71640" w:rsidR="003E1510" w:rsidRPr="003E1510" w:rsidRDefault="003E1510" w:rsidP="003E1510">
      <w:pPr>
        <w:ind w:left="360" w:firstLine="360"/>
        <w:jc w:val="both"/>
        <w:rPr>
          <w:rFonts w:eastAsia="Roboto Mono"/>
        </w:rPr>
      </w:pPr>
      <w:r w:rsidRPr="003E1510">
        <w:rPr>
          <w:rFonts w:eastAsia="Roboto Mono"/>
        </w:rPr>
        <w:t xml:space="preserve">The calculated ROI of 15% indicated </w:t>
      </w:r>
      <w:proofErr w:type="spellStart"/>
      <w:r w:rsidRPr="003E1510">
        <w:rPr>
          <w:rFonts w:eastAsia="Roboto Mono"/>
        </w:rPr>
        <w:t>favourable</w:t>
      </w:r>
      <w:proofErr w:type="spellEnd"/>
      <w:r w:rsidRPr="003E1510">
        <w:rPr>
          <w:rFonts w:eastAsia="Roboto Mono"/>
        </w:rPr>
        <w:t xml:space="preserve"> returns on the initial investment in solar panels and infrastructure, reaffirming the financial attractiveness of renewable energy solutions.</w:t>
      </w:r>
    </w:p>
    <w:p w14:paraId="43951F84" w14:textId="4AA9D8F0" w:rsidR="003E1510" w:rsidRPr="003E1510" w:rsidRDefault="003E1510" w:rsidP="003E1510">
      <w:pPr>
        <w:pStyle w:val="ListParagraph"/>
        <w:jc w:val="both"/>
        <w:rPr>
          <w:rFonts w:eastAsia="Roboto Mono"/>
        </w:rPr>
      </w:pPr>
    </w:p>
    <w:p w14:paraId="00081EE0" w14:textId="1310DCC9" w:rsidR="003E1510" w:rsidRDefault="003E1510" w:rsidP="003E1510">
      <w:pPr>
        <w:pStyle w:val="Heading2"/>
      </w:pPr>
      <w:r>
        <w:t>User Satisfaction Surveys</w:t>
      </w:r>
    </w:p>
    <w:p w14:paraId="1BA1003F" w14:textId="23C23B19" w:rsidR="003E1510" w:rsidRPr="003E1510" w:rsidRDefault="003E1510" w:rsidP="003E1510">
      <w:pPr>
        <w:pStyle w:val="ListParagraph"/>
        <w:numPr>
          <w:ilvl w:val="0"/>
          <w:numId w:val="34"/>
        </w:numPr>
        <w:jc w:val="both"/>
      </w:pPr>
      <w:r>
        <w:t xml:space="preserve">High User Satisfaction </w:t>
      </w:r>
    </w:p>
    <w:p w14:paraId="47C08FA3" w14:textId="52786007" w:rsidR="003E1510" w:rsidRDefault="003E1510" w:rsidP="00BD7F38">
      <w:pPr>
        <w:ind w:left="360"/>
        <w:jc w:val="both"/>
      </w:pPr>
    </w:p>
    <w:p w14:paraId="2E82B84E" w14:textId="0ACE57F3" w:rsidR="003E1510" w:rsidRDefault="003E1510" w:rsidP="00A119F0">
      <w:pPr>
        <w:ind w:firstLine="90"/>
        <w:jc w:val="both"/>
        <w:rPr>
          <w:rFonts w:eastAsia="Roboto Mono"/>
        </w:rPr>
      </w:pPr>
      <w:r w:rsidRPr="00070D34">
        <w:rPr>
          <w:rFonts w:eastAsia="Roboto Mono"/>
        </w:rPr>
        <w:t>User feedback surveys indicated high levels of satisfaction with the reliability, convenience, and environmental benefits of the solar-powered charging station prototype. Positive responses underscored the perceived value and acceptance of renewable energy technologies among users</w:t>
      </w:r>
    </w:p>
    <w:p w14:paraId="2C5ED965" w14:textId="07397D12" w:rsidR="003E1510" w:rsidRDefault="003E1510" w:rsidP="003E1510">
      <w:pPr>
        <w:ind w:left="360" w:firstLine="360"/>
        <w:jc w:val="both"/>
        <w:rPr>
          <w:rFonts w:eastAsia="Roboto Mono"/>
        </w:rPr>
      </w:pPr>
    </w:p>
    <w:p w14:paraId="70552303" w14:textId="351DB0D7" w:rsidR="003E1510" w:rsidRDefault="00A119F0" w:rsidP="00A119F0">
      <w:pPr>
        <w:rPr>
          <w:rFonts w:eastAsia="Roboto Mono"/>
        </w:rPr>
      </w:pPr>
      <w:r w:rsidRPr="00C10DDF">
        <w:rPr>
          <w:rFonts w:eastAsia="Roboto Mono"/>
          <w:noProof/>
        </w:rPr>
        <w:drawing>
          <wp:inline distT="0" distB="0" distL="0" distR="0" wp14:anchorId="4F15E76B" wp14:editId="57E14596">
            <wp:extent cx="2571750" cy="1619250"/>
            <wp:effectExtent l="19050" t="19050" r="19050" b="19050"/>
            <wp:docPr id="34749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94777" name=""/>
                    <pic:cNvPicPr/>
                  </pic:nvPicPr>
                  <pic:blipFill>
                    <a:blip r:embed="rId20"/>
                    <a:stretch>
                      <a:fillRect/>
                    </a:stretch>
                  </pic:blipFill>
                  <pic:spPr>
                    <a:xfrm>
                      <a:off x="0" y="0"/>
                      <a:ext cx="2571975" cy="1619392"/>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142A658E" w14:textId="5C2F9497" w:rsidR="003E1510" w:rsidRDefault="003E1510" w:rsidP="00A119F0">
      <w:pPr>
        <w:ind w:left="360" w:firstLine="360"/>
        <w:rPr>
          <w:rFonts w:eastAsia="Roboto Mono"/>
        </w:rPr>
      </w:pPr>
    </w:p>
    <w:p w14:paraId="213E7F00" w14:textId="068FCB2B" w:rsidR="003E1510" w:rsidRDefault="00A119F0" w:rsidP="00A119F0">
      <w:pPr>
        <w:ind w:left="-90" w:firstLine="360"/>
        <w:rPr>
          <w:rFonts w:eastAsia="Roboto Mono"/>
        </w:rPr>
      </w:pPr>
      <w:r w:rsidRPr="0086743A">
        <w:rPr>
          <w:rFonts w:eastAsia="Roboto Mono"/>
          <w:noProof/>
        </w:rPr>
        <w:drawing>
          <wp:inline distT="0" distB="0" distL="0" distR="0" wp14:anchorId="5571EFEF" wp14:editId="04F3F72A">
            <wp:extent cx="2590800" cy="1657350"/>
            <wp:effectExtent l="19050" t="19050" r="19050"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10813" name=""/>
                    <pic:cNvPicPr/>
                  </pic:nvPicPr>
                  <pic:blipFill>
                    <a:blip r:embed="rId21"/>
                    <a:stretch>
                      <a:fillRect/>
                    </a:stretch>
                  </pic:blipFill>
                  <pic:spPr>
                    <a:xfrm>
                      <a:off x="0" y="0"/>
                      <a:ext cx="2588784" cy="1656060"/>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0A35289D" w14:textId="3F2D49E8" w:rsidR="00BD7F38" w:rsidRPr="00A119F0" w:rsidRDefault="003E1510" w:rsidP="003E1510">
      <w:pPr>
        <w:pStyle w:val="Heading1"/>
        <w:rPr>
          <w:b/>
        </w:rPr>
      </w:pPr>
      <w:r w:rsidRPr="00A119F0">
        <w:rPr>
          <w:b/>
        </w:rPr>
        <w:lastRenderedPageBreak/>
        <w:t>unlocking potential: isights and implications</w:t>
      </w:r>
    </w:p>
    <w:p w14:paraId="0C8A5658" w14:textId="77777777" w:rsidR="003E1510" w:rsidRDefault="003E1510" w:rsidP="003E1510"/>
    <w:p w14:paraId="04278EF5" w14:textId="673F5F6D" w:rsidR="00BD7F38" w:rsidRDefault="003E1510" w:rsidP="00FE09B0">
      <w:pPr>
        <w:pStyle w:val="Heading2"/>
      </w:pPr>
      <w:r>
        <w:t>Technological Advancements and Implications</w:t>
      </w:r>
    </w:p>
    <w:p w14:paraId="62F2BEA9" w14:textId="77777777" w:rsidR="003E1510" w:rsidRDefault="003E1510" w:rsidP="003E1510">
      <w:pPr>
        <w:ind w:firstLine="288"/>
        <w:jc w:val="both"/>
        <w:rPr>
          <w:rFonts w:eastAsia="Roboto Mono"/>
        </w:rPr>
      </w:pPr>
      <w:r w:rsidRPr="007C0A70">
        <w:rPr>
          <w:rFonts w:eastAsia="Roboto Mono"/>
        </w:rPr>
        <w:t xml:space="preserve">The study showcases the technological advancements in solar-powered </w:t>
      </w:r>
      <w:r>
        <w:rPr>
          <w:rFonts w:eastAsia="Roboto Mono"/>
        </w:rPr>
        <w:t>cell phone</w:t>
      </w:r>
      <w:r w:rsidRPr="007C0A70">
        <w:rPr>
          <w:rFonts w:eastAsia="Roboto Mono"/>
        </w:rPr>
        <w:t xml:space="preserve"> powering stations, highlighting their potential to </w:t>
      </w:r>
      <w:r>
        <w:rPr>
          <w:rFonts w:eastAsia="Roboto Mono"/>
        </w:rPr>
        <w:t>revolutionize</w:t>
      </w:r>
      <w:r w:rsidRPr="007C0A70">
        <w:rPr>
          <w:rFonts w:eastAsia="Roboto Mono"/>
        </w:rPr>
        <w:t xml:space="preserve"> the landscape of mobile device charging infrastructure. However, it also acknowledges the challenges associated with technology integration, scalability, and interoperability, </w:t>
      </w:r>
      <w:r>
        <w:rPr>
          <w:rFonts w:eastAsia="Roboto Mono"/>
        </w:rPr>
        <w:t>emphasizing</w:t>
      </w:r>
      <w:r w:rsidRPr="007C0A70">
        <w:rPr>
          <w:rFonts w:eastAsia="Roboto Mono"/>
        </w:rPr>
        <w:t xml:space="preserve"> the need for ongoing innovation and collaboration among stakeholders to address these barriers effectively.</w:t>
      </w:r>
    </w:p>
    <w:p w14:paraId="25FC3774" w14:textId="77777777" w:rsidR="003E1510" w:rsidRDefault="003E1510" w:rsidP="003E1510">
      <w:pPr>
        <w:ind w:firstLine="288"/>
        <w:jc w:val="both"/>
        <w:rPr>
          <w:rFonts w:eastAsia="Roboto Mono"/>
        </w:rPr>
      </w:pPr>
    </w:p>
    <w:p w14:paraId="6FDB4EB4" w14:textId="29E9B25F" w:rsidR="003E1510" w:rsidRPr="003E1510" w:rsidRDefault="003E1510" w:rsidP="00FE09B0">
      <w:pPr>
        <w:pStyle w:val="Heading2"/>
      </w:pPr>
      <w:r>
        <w:t xml:space="preserve">Environmental Impact and Sustainability </w:t>
      </w:r>
    </w:p>
    <w:p w14:paraId="011F1A86" w14:textId="77777777" w:rsidR="003E1510" w:rsidRPr="007C0A70" w:rsidRDefault="003E1510" w:rsidP="003E1510">
      <w:pPr>
        <w:ind w:firstLine="288"/>
        <w:jc w:val="both"/>
        <w:rPr>
          <w:rFonts w:eastAsia="Roboto Mono"/>
        </w:rPr>
      </w:pPr>
      <w:r w:rsidRPr="007C0A70">
        <w:rPr>
          <w:rFonts w:eastAsia="Roboto Mono"/>
        </w:rPr>
        <w:t>Solar-powered charging stations offer significant environmental benefits by reducing reliance on fossil fuels, mitigating carbon emissions, and fostering cleaner and greener energy consumption. The study underscores the importance of sustainable energy solutions in combating climate change and advancing environmental sustainability agendas, calling for greater investments and policy support for renewable energy initiatives.</w:t>
      </w:r>
    </w:p>
    <w:p w14:paraId="7D45FD9B" w14:textId="77777777" w:rsidR="003E1510" w:rsidRDefault="003E1510" w:rsidP="003E1510">
      <w:pPr>
        <w:jc w:val="both"/>
      </w:pPr>
    </w:p>
    <w:p w14:paraId="385C7115" w14:textId="70437B8D" w:rsidR="00FE09B0" w:rsidRDefault="003E1510" w:rsidP="00FE09B0">
      <w:pPr>
        <w:pStyle w:val="Heading2"/>
      </w:pPr>
      <w:r>
        <w:t xml:space="preserve">Socioeconomic </w:t>
      </w:r>
      <w:r w:rsidR="00FE09B0">
        <w:t xml:space="preserve">Implications and Community Engagements </w:t>
      </w:r>
    </w:p>
    <w:p w14:paraId="7F50E5C1" w14:textId="5D8B0BDB" w:rsidR="00FE09B0" w:rsidRDefault="00FE09B0" w:rsidP="00FE09B0">
      <w:pPr>
        <w:ind w:firstLine="288"/>
        <w:jc w:val="both"/>
        <w:rPr>
          <w:rFonts w:eastAsia="Roboto Mono"/>
          <w:lang w:val="en-GB" w:eastAsia="en-IN"/>
        </w:rPr>
      </w:pPr>
      <w:r w:rsidRPr="00FE09B0">
        <w:rPr>
          <w:rFonts w:eastAsia="Roboto Mono"/>
          <w:lang w:val="en-GB" w:eastAsia="en-IN"/>
        </w:rPr>
        <w:t>Beyond their technical merits, solar-powered charging stations have profound socioeconomic implications, particularly in underserved and off-grid communities. By providing access to clean and affordable energy, these stations empower communities, stimulate economic development, and improve quality of life. Moreover, the study highlights the role of community engagement in promoting renewable energy adoption and fostering a culture of sustainability.</w:t>
      </w:r>
    </w:p>
    <w:p w14:paraId="1311BDB1" w14:textId="77777777" w:rsidR="00FE09B0" w:rsidRDefault="00FE09B0" w:rsidP="00FE09B0">
      <w:pPr>
        <w:ind w:firstLine="288"/>
        <w:jc w:val="both"/>
        <w:rPr>
          <w:rFonts w:eastAsia="Roboto Mono"/>
          <w:lang w:val="en-GB" w:eastAsia="en-IN"/>
        </w:rPr>
      </w:pPr>
    </w:p>
    <w:p w14:paraId="1EA7AAD2" w14:textId="19CF9B07" w:rsidR="00FE09B0" w:rsidRPr="00FE09B0" w:rsidRDefault="00FE09B0" w:rsidP="00FE09B0">
      <w:pPr>
        <w:pStyle w:val="Heading2"/>
        <w:rPr>
          <w:lang w:val="en-GB" w:eastAsia="en-IN"/>
        </w:rPr>
      </w:pPr>
      <w:r>
        <w:rPr>
          <w:lang w:val="en-GB" w:eastAsia="en-IN"/>
        </w:rPr>
        <w:t>Policy and Regulatory Frameworks</w:t>
      </w:r>
    </w:p>
    <w:p w14:paraId="31E79ED4" w14:textId="77777777" w:rsidR="00FE09B0" w:rsidRPr="00FE09B0" w:rsidRDefault="00FE09B0" w:rsidP="00FE09B0">
      <w:pPr>
        <w:ind w:firstLine="288"/>
        <w:jc w:val="both"/>
        <w:rPr>
          <w:rFonts w:eastAsia="Roboto Mono"/>
          <w:lang w:val="en-GB" w:eastAsia="en-IN"/>
        </w:rPr>
      </w:pPr>
      <w:r w:rsidRPr="00FE09B0">
        <w:rPr>
          <w:rFonts w:eastAsia="Roboto Mono"/>
          <w:lang w:val="en-GB" w:eastAsia="en-IN"/>
        </w:rPr>
        <w:t>The study underscores the critical role of policy and regulatory frameworks in facilitating the deployment and adoption of solar-powered charging infrastructure. Policymakers play a pivotal role in providing incentives, streamlining permitting processes, and establishing supportive policies that incentivize renewable energy investments and accelerate the transition toward a low-carbon future.</w:t>
      </w:r>
    </w:p>
    <w:p w14:paraId="71CA1D7B" w14:textId="77777777" w:rsidR="00FE09B0" w:rsidRPr="00FE09B0" w:rsidRDefault="00FE09B0" w:rsidP="00FE09B0">
      <w:pPr>
        <w:jc w:val="both"/>
      </w:pPr>
    </w:p>
    <w:p w14:paraId="0FCDBDB0" w14:textId="3D0C749B" w:rsidR="003E1510" w:rsidRDefault="00FE09B0" w:rsidP="00FE09B0">
      <w:pPr>
        <w:pStyle w:val="Heading2"/>
      </w:pPr>
      <w:r>
        <w:t>Economic Viability and Financial Incentives</w:t>
      </w:r>
    </w:p>
    <w:p w14:paraId="42EEF432" w14:textId="7B2B598E" w:rsidR="00FE09B0" w:rsidRDefault="00FE09B0" w:rsidP="00FE09B0">
      <w:pPr>
        <w:ind w:firstLine="288"/>
        <w:jc w:val="both"/>
        <w:rPr>
          <w:rFonts w:eastAsia="Roboto Mono"/>
        </w:rPr>
      </w:pPr>
      <w:r w:rsidRPr="007C0A70">
        <w:rPr>
          <w:rFonts w:eastAsia="Roboto Mono"/>
        </w:rPr>
        <w:t xml:space="preserve">While the initial investment in solar-powered charging infrastructure may seem substantial, the study demonstrates its long-term economic viability and potential for significant cost savings over the operational lifespan. Moreover, it highlights the importance of financial incentives, such as tax credits, subsidies, and innovative financing mechanisms, in making renewable </w:t>
      </w:r>
      <w:r w:rsidRPr="007C0A70">
        <w:rPr>
          <w:rFonts w:eastAsia="Roboto Mono"/>
        </w:rPr>
        <w:lastRenderedPageBreak/>
        <w:t>energy projects more attractive to investors and stakeholders</w:t>
      </w:r>
    </w:p>
    <w:p w14:paraId="68F49117" w14:textId="77777777" w:rsidR="00FE09B0" w:rsidRDefault="00FE09B0" w:rsidP="00FE09B0">
      <w:pPr>
        <w:jc w:val="both"/>
        <w:rPr>
          <w:rFonts w:eastAsia="Roboto Mono"/>
        </w:rPr>
      </w:pPr>
    </w:p>
    <w:p w14:paraId="045D222E" w14:textId="1378E5E5" w:rsidR="00FE09B0" w:rsidRDefault="00FE09B0" w:rsidP="00FE09B0">
      <w:pPr>
        <w:pStyle w:val="Heading2"/>
      </w:pPr>
      <w:r>
        <w:t xml:space="preserve">Integration with Smart Grids and Emerging Technologies </w:t>
      </w:r>
    </w:p>
    <w:p w14:paraId="7908D34A" w14:textId="77777777" w:rsidR="00FE09B0" w:rsidRPr="007C0A70" w:rsidRDefault="00FE09B0" w:rsidP="00FE09B0">
      <w:pPr>
        <w:ind w:firstLine="288"/>
        <w:jc w:val="both"/>
        <w:rPr>
          <w:rFonts w:eastAsia="Roboto Mono"/>
        </w:rPr>
      </w:pPr>
      <w:r w:rsidRPr="007C0A70">
        <w:rPr>
          <w:rFonts w:eastAsia="Roboto Mono"/>
        </w:rPr>
        <w:t>Looking ahead, the study explores the synergies between solar-powered charging stations and emerging technologies, such as smart grids, energy storage systems, and IoT-enabled devices. Integration with smart grid infrastructure enables advanced monitoring, management, and optimization of energy resources, paving the way for more efficient and resilient energy systems.</w:t>
      </w:r>
    </w:p>
    <w:p w14:paraId="13286678" w14:textId="77777777" w:rsidR="00FE09B0" w:rsidRDefault="00FE09B0" w:rsidP="00FE09B0">
      <w:pPr>
        <w:jc w:val="both"/>
      </w:pPr>
    </w:p>
    <w:p w14:paraId="719EDA87" w14:textId="3161DAC0" w:rsidR="00FE09B0" w:rsidRDefault="00FE09B0" w:rsidP="00FE09B0">
      <w:pPr>
        <w:pStyle w:val="Heading2"/>
      </w:pPr>
      <w:r>
        <w:t>International Collaboration and Knowledge Sharing</w:t>
      </w:r>
    </w:p>
    <w:p w14:paraId="4D74E420" w14:textId="4A5CA22B" w:rsidR="00FE09B0" w:rsidRDefault="00FE09B0" w:rsidP="00FE09B0">
      <w:pPr>
        <w:ind w:firstLine="288"/>
        <w:jc w:val="both"/>
        <w:rPr>
          <w:rFonts w:eastAsia="Roboto Mono"/>
        </w:rPr>
      </w:pPr>
      <w:r w:rsidRPr="007C0A70">
        <w:rPr>
          <w:rFonts w:eastAsia="Roboto Mono"/>
        </w:rPr>
        <w:t xml:space="preserve">Finally, the study </w:t>
      </w:r>
      <w:r>
        <w:rPr>
          <w:rFonts w:eastAsia="Roboto Mono"/>
        </w:rPr>
        <w:t>emphasizes</w:t>
      </w:r>
      <w:r w:rsidRPr="007C0A70">
        <w:rPr>
          <w:rFonts w:eastAsia="Roboto Mono"/>
        </w:rPr>
        <w:t xml:space="preserve"> the importance of international collaboration and knowledge sharing in advancing renewable energy solutions globally. By sharing best practices, lessons learned, and innovative approaches, stakeholders can accelerate the adoption of solar-powered charging infrastructure and collectively address the pressing challenges of climate change and energy sustainability.</w:t>
      </w:r>
    </w:p>
    <w:p w14:paraId="58B18380" w14:textId="77777777" w:rsidR="00FE09B0" w:rsidRPr="00FE09B0" w:rsidRDefault="00FE09B0" w:rsidP="00FE09B0">
      <w:pPr>
        <w:ind w:firstLine="288"/>
        <w:jc w:val="both"/>
      </w:pPr>
    </w:p>
    <w:p w14:paraId="32389EDA" w14:textId="3FA2CA09" w:rsidR="00523B9F" w:rsidRPr="00A119F0" w:rsidRDefault="00523B9F" w:rsidP="00523B9F">
      <w:pPr>
        <w:pStyle w:val="Heading1"/>
        <w:ind w:firstLine="0"/>
        <w:rPr>
          <w:b/>
        </w:rPr>
      </w:pPr>
      <w:r w:rsidRPr="00A119F0">
        <w:rPr>
          <w:b/>
        </w:rPr>
        <w:t>Conclusion:-</w:t>
      </w:r>
    </w:p>
    <w:p w14:paraId="56DF5706" w14:textId="362D11B6" w:rsidR="00523B9F" w:rsidRDefault="00FE09B0" w:rsidP="00523B9F">
      <w:pPr>
        <w:jc w:val="both"/>
      </w:pPr>
      <w:r w:rsidRPr="00FE09B0">
        <w:t xml:space="preserve">Combining technical analysis with user survey data, the research highlights the promising prospects of solar-powered/mobile charging stations. Technical assessments reveal robust energy generation capabilities, with an average daily output of 20 kWh/day and a conversion efficiency of 15%, indicating effective utilization of solar irradiance. Moreover, the evaluation of charging capacity demonstrates the station's ability to efficiently charge multiple devices simultaneously, augmented by intelligent charging algorithms for optimized energy utilization. While occasional challenges in station availability and charging capacity were noted in the user survey, overall satisfaction levels remained high, underscoring the stations' reliability and performance. Furthermore, economic feasibility analysis unveils substantial cost savings and a </w:t>
      </w:r>
      <w:proofErr w:type="spellStart"/>
      <w:r w:rsidRPr="00FE09B0">
        <w:t>favourable</w:t>
      </w:r>
      <w:proofErr w:type="spellEnd"/>
      <w:r w:rsidRPr="00FE09B0">
        <w:t xml:space="preserve"> ROI of 15%, endorsing the financial viability of renewable energy infrastructure. Thus, by aligning technical prowess with user-centric design, solar-powered/mobile charging stations emerge as sustainable, efficient, and economically viable solutions for modern charging needs, poised to play a significant role in the transition towards renewable energy utilization</w:t>
      </w:r>
      <w:proofErr w:type="gramStart"/>
      <w:r w:rsidRPr="00FE09B0">
        <w:t>.</w:t>
      </w:r>
      <w:r w:rsidR="0032282C" w:rsidRPr="0032282C">
        <w:t>.</w:t>
      </w:r>
      <w:proofErr w:type="gramEnd"/>
    </w:p>
    <w:p w14:paraId="486AD747" w14:textId="02B6CC6C" w:rsidR="0032282C" w:rsidRPr="00A119F0" w:rsidRDefault="0032282C" w:rsidP="0032282C">
      <w:pPr>
        <w:pStyle w:val="Heading1"/>
        <w:numPr>
          <w:ilvl w:val="0"/>
          <w:numId w:val="0"/>
        </w:numPr>
        <w:rPr>
          <w:b/>
        </w:rPr>
      </w:pPr>
      <w:r w:rsidRPr="00A119F0">
        <w:rPr>
          <w:b/>
        </w:rPr>
        <w:t xml:space="preserve"> References</w:t>
      </w:r>
    </w:p>
    <w:p w14:paraId="4ED98EBE"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Capasso, C. and Veneri O. 2015. Experimental study of a DC charging station for full electric and plug-in hybrid vehicles. J. Applied Energy, 152: 131-42.</w:t>
      </w:r>
    </w:p>
    <w:p w14:paraId="0B45E160"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 xml:space="preserve">Chandra Mouli, G.R., Bauer, P. and Zeman, M. 2016. System design for a solar-powered electric vehicle charging station for workplaces. J. Applied Energy, </w:t>
      </w:r>
      <w:r w:rsidRPr="00A119F0">
        <w:rPr>
          <w:rFonts w:eastAsia="Times New Roman"/>
          <w:i/>
          <w:color w:val="000000"/>
          <w:sz w:val="18"/>
          <w:lang w:val="en-IN" w:bidi="mr-IN"/>
        </w:rPr>
        <w:lastRenderedPageBreak/>
        <w:t>168(15): 434-443. doi.org/10.1016/j.apenergy.2016.01.110</w:t>
      </w:r>
    </w:p>
    <w:p w14:paraId="12E3C4E5"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 xml:space="preserve">Choe, G.Y., Kim, J.S. and Lee, B.K. 2010. A Bidirectional battery charger for electric vehicles using photovoltaic PCS systems. In: IEEE Vehicle Power </w:t>
      </w:r>
      <w:proofErr w:type="spellStart"/>
      <w:r w:rsidRPr="00A119F0">
        <w:rPr>
          <w:rFonts w:eastAsia="Times New Roman"/>
          <w:i/>
          <w:color w:val="000000"/>
          <w:sz w:val="18"/>
          <w:lang w:val="en-IN" w:bidi="mr-IN"/>
        </w:rPr>
        <w:t>Propuls</w:t>
      </w:r>
      <w:proofErr w:type="spellEnd"/>
      <w:r w:rsidRPr="00A119F0">
        <w:rPr>
          <w:rFonts w:eastAsia="Times New Roman"/>
          <w:i/>
          <w:color w:val="000000"/>
          <w:sz w:val="18"/>
          <w:lang w:val="en-IN" w:bidi="mr-IN"/>
        </w:rPr>
        <w:t xml:space="preserve"> Conf., IEEE, pp. 1-6.</w:t>
      </w:r>
    </w:p>
    <w:p w14:paraId="47052E54"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 xml:space="preserve">Fattori, F., </w:t>
      </w:r>
      <w:proofErr w:type="spellStart"/>
      <w:r w:rsidRPr="00A119F0">
        <w:rPr>
          <w:rFonts w:eastAsia="Times New Roman"/>
          <w:i/>
          <w:color w:val="000000"/>
          <w:sz w:val="18"/>
          <w:lang w:val="en-IN" w:bidi="mr-IN"/>
        </w:rPr>
        <w:t>Anglani</w:t>
      </w:r>
      <w:proofErr w:type="spellEnd"/>
      <w:r w:rsidRPr="00A119F0">
        <w:rPr>
          <w:rFonts w:eastAsia="Times New Roman"/>
          <w:i/>
          <w:color w:val="000000"/>
          <w:sz w:val="18"/>
          <w:lang w:val="en-IN" w:bidi="mr-IN"/>
        </w:rPr>
        <w:t xml:space="preserve"> N. and </w:t>
      </w:r>
      <w:proofErr w:type="spellStart"/>
      <w:r w:rsidRPr="00A119F0">
        <w:rPr>
          <w:rFonts w:eastAsia="Times New Roman"/>
          <w:i/>
          <w:color w:val="000000"/>
          <w:sz w:val="18"/>
          <w:lang w:val="en-IN" w:bidi="mr-IN"/>
        </w:rPr>
        <w:t>Muliere</w:t>
      </w:r>
      <w:proofErr w:type="spellEnd"/>
      <w:r w:rsidRPr="00A119F0">
        <w:rPr>
          <w:rFonts w:eastAsia="Times New Roman"/>
          <w:i/>
          <w:color w:val="000000"/>
          <w:sz w:val="18"/>
          <w:lang w:val="en-IN" w:bidi="mr-IN"/>
        </w:rPr>
        <w:t xml:space="preserve"> G. 2014. Combining photovoltaic energy with electric vehicles, smart charging, and vehicle-to-grid. J. Solar Energy, 110: 438-51.</w:t>
      </w:r>
    </w:p>
    <w:p w14:paraId="2CCF1BA4"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Goli, P. and Shireen, W. 2014. PV-powered smart charging station for PHEVs. J. Renewable Energy, 66: 280-7.</w:t>
      </w:r>
    </w:p>
    <w:p w14:paraId="2064353A"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proofErr w:type="spellStart"/>
      <w:r w:rsidRPr="00A119F0">
        <w:rPr>
          <w:rFonts w:eastAsia="Times New Roman"/>
          <w:i/>
          <w:color w:val="000000"/>
          <w:sz w:val="18"/>
          <w:lang w:val="en-IN" w:bidi="mr-IN"/>
        </w:rPr>
        <w:t>Mesentean</w:t>
      </w:r>
      <w:proofErr w:type="spellEnd"/>
      <w:r w:rsidRPr="00A119F0">
        <w:rPr>
          <w:rFonts w:eastAsia="Times New Roman"/>
          <w:i/>
          <w:color w:val="000000"/>
          <w:sz w:val="18"/>
          <w:lang w:val="en-IN" w:bidi="mr-IN"/>
        </w:rPr>
        <w:t xml:space="preserve">, S., Feucht, W., Mittnacht, A. and Frank, H. 2011. Scheduling methods for smart charging of electric bikes from a grid-connected photovoltaic system. In: </w:t>
      </w:r>
      <w:proofErr w:type="spellStart"/>
      <w:r w:rsidRPr="00A119F0">
        <w:rPr>
          <w:rFonts w:eastAsia="Times New Roman"/>
          <w:i/>
          <w:color w:val="000000"/>
          <w:sz w:val="18"/>
          <w:lang w:val="en-IN" w:bidi="mr-IN"/>
        </w:rPr>
        <w:t>UKSim</w:t>
      </w:r>
      <w:proofErr w:type="spellEnd"/>
      <w:r w:rsidRPr="00A119F0">
        <w:rPr>
          <w:rFonts w:eastAsia="Times New Roman"/>
          <w:i/>
          <w:color w:val="000000"/>
          <w:sz w:val="18"/>
          <w:lang w:val="en-IN" w:bidi="mr-IN"/>
        </w:rPr>
        <w:t xml:space="preserve"> 5th </w:t>
      </w:r>
      <w:proofErr w:type="spellStart"/>
      <w:r w:rsidRPr="00A119F0">
        <w:rPr>
          <w:rFonts w:eastAsia="Times New Roman"/>
          <w:i/>
          <w:color w:val="000000"/>
          <w:sz w:val="18"/>
          <w:lang w:val="en-IN" w:bidi="mr-IN"/>
        </w:rPr>
        <w:t>Eur</w:t>
      </w:r>
      <w:proofErr w:type="spellEnd"/>
      <w:r w:rsidRPr="00A119F0">
        <w:rPr>
          <w:rFonts w:eastAsia="Times New Roman"/>
          <w:i/>
          <w:color w:val="000000"/>
          <w:sz w:val="18"/>
          <w:lang w:val="en-IN" w:bidi="mr-IN"/>
        </w:rPr>
        <w:t xml:space="preserve"> </w:t>
      </w:r>
      <w:proofErr w:type="spellStart"/>
      <w:r w:rsidRPr="00A119F0">
        <w:rPr>
          <w:rFonts w:eastAsia="Times New Roman"/>
          <w:i/>
          <w:color w:val="000000"/>
          <w:sz w:val="18"/>
          <w:lang w:val="en-IN" w:bidi="mr-IN"/>
        </w:rPr>
        <w:t>Symp</w:t>
      </w:r>
      <w:proofErr w:type="spellEnd"/>
      <w:r w:rsidRPr="00A119F0">
        <w:rPr>
          <w:rFonts w:eastAsia="Times New Roman"/>
          <w:i/>
          <w:color w:val="000000"/>
          <w:sz w:val="18"/>
          <w:lang w:val="en-IN" w:bidi="mr-IN"/>
        </w:rPr>
        <w:t xml:space="preserve"> Computer </w:t>
      </w:r>
      <w:proofErr w:type="spellStart"/>
      <w:r w:rsidRPr="00A119F0">
        <w:rPr>
          <w:rFonts w:eastAsia="Times New Roman"/>
          <w:i/>
          <w:color w:val="000000"/>
          <w:sz w:val="18"/>
          <w:lang w:val="en-IN" w:bidi="mr-IN"/>
        </w:rPr>
        <w:t>Modeling</w:t>
      </w:r>
      <w:proofErr w:type="spellEnd"/>
      <w:r w:rsidRPr="00A119F0">
        <w:rPr>
          <w:rFonts w:eastAsia="Times New Roman"/>
          <w:i/>
          <w:color w:val="000000"/>
          <w:sz w:val="18"/>
          <w:lang w:val="en-IN" w:bidi="mr-IN"/>
        </w:rPr>
        <w:t xml:space="preserve"> Simulation, IEEE; p. 299-304.</w:t>
      </w:r>
    </w:p>
    <w:p w14:paraId="3F5AB2F5"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Singh, M., Thirugnanam, K., Kumar, P. and Kar, I. 2015. Real-time coordination of electric vehicles to support the grid at the distribution substation level. J. IEEE Syst., 9: 1000-10. doi.org/10.1109/ JSYST.2013.2280821.</w:t>
      </w:r>
    </w:p>
    <w:p w14:paraId="15904663"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 xml:space="preserve">Thirugnanam, K., Ezhil Reena, </w:t>
      </w:r>
      <w:proofErr w:type="gramStart"/>
      <w:r w:rsidRPr="00A119F0">
        <w:rPr>
          <w:rFonts w:eastAsia="Times New Roman"/>
          <w:i/>
          <w:color w:val="000000"/>
          <w:sz w:val="18"/>
          <w:lang w:val="en-IN" w:bidi="mr-IN"/>
        </w:rPr>
        <w:t>JTP.,</w:t>
      </w:r>
      <w:proofErr w:type="gramEnd"/>
      <w:r w:rsidRPr="00A119F0">
        <w:rPr>
          <w:rFonts w:eastAsia="Times New Roman"/>
          <w:i/>
          <w:color w:val="000000"/>
          <w:sz w:val="18"/>
          <w:lang w:val="en-IN" w:bidi="mr-IN"/>
        </w:rPr>
        <w:t xml:space="preserve"> Singh, M. and Kumar, P. 2014. Mathematical </w:t>
      </w:r>
      <w:proofErr w:type="spellStart"/>
      <w:r w:rsidRPr="00A119F0">
        <w:rPr>
          <w:rFonts w:eastAsia="Times New Roman"/>
          <w:i/>
          <w:color w:val="000000"/>
          <w:sz w:val="18"/>
          <w:lang w:val="en-IN" w:bidi="mr-IN"/>
        </w:rPr>
        <w:t>modeling</w:t>
      </w:r>
      <w:proofErr w:type="spellEnd"/>
      <w:r w:rsidRPr="00A119F0">
        <w:rPr>
          <w:rFonts w:eastAsia="Times New Roman"/>
          <w:i/>
          <w:color w:val="000000"/>
          <w:sz w:val="18"/>
          <w:lang w:val="en-IN" w:bidi="mr-IN"/>
        </w:rPr>
        <w:t xml:space="preserve"> of Li-ion battery using genetic algorithm approach for V2G applications. IEEE Trans. Energy </w:t>
      </w:r>
      <w:proofErr w:type="gramStart"/>
      <w:r w:rsidRPr="00A119F0">
        <w:rPr>
          <w:rFonts w:eastAsia="Times New Roman"/>
          <w:i/>
          <w:color w:val="000000"/>
          <w:sz w:val="18"/>
          <w:lang w:val="en-IN" w:bidi="mr-IN"/>
        </w:rPr>
        <w:t>Convers.,</w:t>
      </w:r>
      <w:proofErr w:type="gramEnd"/>
      <w:r w:rsidRPr="00A119F0">
        <w:rPr>
          <w:rFonts w:eastAsia="Times New Roman"/>
          <w:i/>
          <w:color w:val="000000"/>
          <w:sz w:val="18"/>
          <w:lang w:val="en-IN" w:bidi="mr-IN"/>
        </w:rPr>
        <w:t xml:space="preserve"> 29: 332-43..</w:t>
      </w:r>
    </w:p>
    <w:p w14:paraId="5AE8EE39"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T. Penick and B. Louk, "Photovoltaic power generation" in TEI Controls, 2007.</w:t>
      </w:r>
    </w:p>
    <w:p w14:paraId="3507EBA1"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S. Sheik Mohammed and D. Devaraj, "Simulation and analysis of a stand-alone photovoltaic system with boost converter using MATLAB/Simulink", IEEE Conference, 2014.</w:t>
      </w:r>
    </w:p>
    <w:p w14:paraId="0BE7610C"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S. S. Mohammed and K. Ramasamy, "Solar power generation using SPS and wireless power transmission", Proceeding of International Conference on Energy and Environment, 2009.</w:t>
      </w:r>
    </w:p>
    <w:p w14:paraId="4682CFDE"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S. Shilpa, H. M. Manasa, S. S. Mariam, and M. K. Kumar M, “Wireless battery charger”, Int. J. Eng. Trends and Technol., vol. 35, no. 3, pp. 125-128, May 2016.</w:t>
      </w:r>
    </w:p>
    <w:p w14:paraId="236D4E91"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R. Bhutkar, and S. Sapre, “Wireless Energy Transfer Using Magnetic Resonance,” in Proc. of International Conference on Computer and Electrical Engineering, Dubai, United Arab Emirates, Dec. 2009.</w:t>
      </w:r>
    </w:p>
    <w:p w14:paraId="336BDF20"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Akanksha, S., Mahendran, S., &amp; Gopinath, M. (2020). Design and Implementation of Solar Powered Mobile Charging Station Using Arduino. International Journal of Advanced Research in Electrical, Electronics and Instrumentation Engineering, 9(2), 805-811.</w:t>
      </w:r>
    </w:p>
    <w:p w14:paraId="4C5BAF48"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Amadi, A. E., Ugwoke, P. O., Nwosu, P. C., &amp; Okolie, S. N. (2019). Design and Implementation of a Solar-Powered Mobile Phone Charging Station for Rural Communities. Journal of Electrical Engineering and Computer Science, 2(1), 1-10.</w:t>
      </w:r>
    </w:p>
    <w:p w14:paraId="74604321"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 xml:space="preserve">Gupta, R., Mishra, A., &amp; Oza, B. (2018). Design and Development of Solar Power Based Mobile Charging </w:t>
      </w:r>
      <w:r w:rsidRPr="00A119F0">
        <w:rPr>
          <w:rFonts w:eastAsia="Times New Roman"/>
          <w:i/>
          <w:color w:val="000000"/>
          <w:sz w:val="18"/>
          <w:lang w:val="en-IN" w:bidi="mr-IN"/>
        </w:rPr>
        <w:lastRenderedPageBreak/>
        <w:t>Station. International Journal of Engineering Technology, Management and Applied Sciences, 6(2), 84-91.</w:t>
      </w:r>
    </w:p>
    <w:p w14:paraId="2BFC515C" w14:textId="77777777" w:rsidR="00FE09B0" w:rsidRPr="00A119F0" w:rsidRDefault="00FE09B0" w:rsidP="00A119F0">
      <w:pPr>
        <w:numPr>
          <w:ilvl w:val="0"/>
          <w:numId w:val="36"/>
        </w:numPr>
        <w:autoSpaceDE w:val="0"/>
        <w:autoSpaceDN w:val="0"/>
        <w:adjustRightInd w:val="0"/>
        <w:spacing w:line="276" w:lineRule="auto"/>
        <w:ind w:left="540" w:hanging="540"/>
        <w:jc w:val="both"/>
        <w:rPr>
          <w:rFonts w:eastAsia="Times New Roman"/>
          <w:i/>
          <w:color w:val="000000"/>
          <w:sz w:val="18"/>
          <w:lang w:val="en-IN" w:bidi="mr-IN"/>
        </w:rPr>
      </w:pPr>
      <w:r w:rsidRPr="00A119F0">
        <w:rPr>
          <w:rFonts w:eastAsia="Times New Roman"/>
          <w:i/>
          <w:color w:val="000000"/>
          <w:sz w:val="18"/>
          <w:lang w:val="en-IN" w:bidi="mr-IN"/>
        </w:rPr>
        <w:t>Kothari, H., Bhatt, D., &amp; Upadhyay, S. (2017). Design and Implementation of a Solar Powered Mobile Charging Station. International Journal of Innovative Research in Electrical, Electronics, Instrumentation and Control Engineering, 5(2), 9-15.</w:t>
      </w:r>
    </w:p>
    <w:p w14:paraId="09CA0061" w14:textId="77777777" w:rsidR="00FE09B0" w:rsidRPr="00A119F0" w:rsidRDefault="00FE09B0" w:rsidP="00A119F0">
      <w:pPr>
        <w:numPr>
          <w:ilvl w:val="0"/>
          <w:numId w:val="36"/>
        </w:numPr>
        <w:spacing w:line="276" w:lineRule="auto"/>
        <w:ind w:left="540" w:hanging="540"/>
        <w:jc w:val="both"/>
        <w:rPr>
          <w:rFonts w:eastAsia="Arial"/>
          <w:i/>
          <w:color w:val="000000"/>
          <w:sz w:val="18"/>
          <w:lang w:val="en-GB" w:eastAsia="en-IN"/>
        </w:rPr>
      </w:pPr>
      <w:proofErr w:type="spellStart"/>
      <w:r w:rsidRPr="00A119F0">
        <w:rPr>
          <w:rFonts w:eastAsia="Arial"/>
          <w:i/>
          <w:sz w:val="18"/>
          <w:lang w:val="en-GB" w:eastAsia="en-IN"/>
        </w:rPr>
        <w:t>Nandankar</w:t>
      </w:r>
      <w:proofErr w:type="spellEnd"/>
      <w:r w:rsidRPr="00A119F0">
        <w:rPr>
          <w:rFonts w:eastAsia="Arial"/>
          <w:i/>
          <w:sz w:val="18"/>
          <w:lang w:val="en-GB" w:eastAsia="en-IN"/>
        </w:rPr>
        <w:t xml:space="preserve">, P.V., </w:t>
      </w:r>
      <w:proofErr w:type="spellStart"/>
      <w:r w:rsidRPr="00A119F0">
        <w:rPr>
          <w:rFonts w:eastAsia="Arial"/>
          <w:i/>
          <w:sz w:val="18"/>
          <w:lang w:val="en-GB" w:eastAsia="en-IN"/>
        </w:rPr>
        <w:t>Bedekar</w:t>
      </w:r>
      <w:proofErr w:type="spellEnd"/>
      <w:r w:rsidRPr="00A119F0">
        <w:rPr>
          <w:rFonts w:eastAsia="Arial"/>
          <w:i/>
          <w:sz w:val="18"/>
          <w:lang w:val="en-GB" w:eastAsia="en-IN"/>
        </w:rPr>
        <w:t>, P.P., Dhawas, P.K.V.: Variable switching frequency control for efficient DC/DC converter. Material Today: Proceedings (2021).</w:t>
      </w:r>
    </w:p>
    <w:p w14:paraId="257D476E" w14:textId="77777777" w:rsidR="00FE09B0" w:rsidRPr="00A119F0" w:rsidRDefault="00FE09B0" w:rsidP="00A119F0">
      <w:pPr>
        <w:numPr>
          <w:ilvl w:val="0"/>
          <w:numId w:val="36"/>
        </w:numPr>
        <w:spacing w:line="276" w:lineRule="auto"/>
        <w:ind w:left="540" w:hanging="540"/>
        <w:jc w:val="both"/>
        <w:rPr>
          <w:rFonts w:eastAsia="Arial"/>
          <w:i/>
          <w:color w:val="000000"/>
          <w:sz w:val="18"/>
          <w:lang w:val="en-GB" w:eastAsia="en-IN"/>
        </w:rPr>
      </w:pPr>
      <w:proofErr w:type="spellStart"/>
      <w:r w:rsidRPr="00A119F0">
        <w:rPr>
          <w:rFonts w:eastAsia="Arial"/>
          <w:i/>
          <w:sz w:val="18"/>
          <w:lang w:val="en-GB" w:eastAsia="en-IN"/>
        </w:rPr>
        <w:t>Nandankar</w:t>
      </w:r>
      <w:proofErr w:type="spellEnd"/>
      <w:r w:rsidRPr="00A119F0">
        <w:rPr>
          <w:rFonts w:eastAsia="Arial"/>
          <w:i/>
          <w:sz w:val="18"/>
          <w:lang w:val="en-GB" w:eastAsia="en-IN"/>
        </w:rPr>
        <w:t xml:space="preserve">, P., Thaker R.; Mughal, S.N.; </w:t>
      </w:r>
      <w:proofErr w:type="spellStart"/>
      <w:r w:rsidRPr="00A119F0">
        <w:rPr>
          <w:rFonts w:eastAsia="Arial"/>
          <w:i/>
          <w:sz w:val="18"/>
          <w:lang w:val="en-GB" w:eastAsia="en-IN"/>
        </w:rPr>
        <w:t>Saidireddy</w:t>
      </w:r>
      <w:proofErr w:type="spellEnd"/>
      <w:r w:rsidRPr="00A119F0">
        <w:rPr>
          <w:rFonts w:eastAsia="Arial"/>
          <w:i/>
          <w:sz w:val="18"/>
          <w:lang w:val="en-GB" w:eastAsia="en-IN"/>
        </w:rPr>
        <w:t xml:space="preserve"> M.; Linda, A.; Kostka J.E.; Nag, M.A</w:t>
      </w:r>
      <w:r w:rsidRPr="00A119F0">
        <w:rPr>
          <w:rFonts w:eastAsia="Arial"/>
          <w:i/>
          <w:color w:val="222222"/>
          <w:sz w:val="18"/>
          <w:shd w:val="clear" w:color="auto" w:fill="FFFFFF"/>
          <w:lang w:val="en-GB" w:eastAsia="en-IN"/>
        </w:rPr>
        <w:t>, “An IoT based healthcare data analytics using fog and cloud computing,” Turkish Journal of Physiotherapy and Rehabilitation, (2021), 3,32.</w:t>
      </w:r>
    </w:p>
    <w:p w14:paraId="522A17A8" w14:textId="4B080AB5" w:rsidR="00FE09B0" w:rsidRPr="00A119F0" w:rsidRDefault="00FE09B0" w:rsidP="00A119F0">
      <w:pPr>
        <w:numPr>
          <w:ilvl w:val="0"/>
          <w:numId w:val="36"/>
        </w:numPr>
        <w:spacing w:line="276" w:lineRule="auto"/>
        <w:ind w:left="540" w:hanging="540"/>
        <w:jc w:val="both"/>
        <w:rPr>
          <w:rFonts w:eastAsia="Arial"/>
          <w:i/>
          <w:color w:val="000000"/>
          <w:sz w:val="18"/>
          <w:lang w:val="en-GB" w:eastAsia="en-IN"/>
        </w:rPr>
      </w:pPr>
      <w:proofErr w:type="spellStart"/>
      <w:r w:rsidRPr="00A119F0">
        <w:rPr>
          <w:rFonts w:eastAsia="Arial"/>
          <w:i/>
          <w:color w:val="000000"/>
          <w:sz w:val="18"/>
          <w:shd w:val="clear" w:color="auto" w:fill="FFFFFF"/>
          <w:lang w:val="en-GB" w:eastAsia="en-IN"/>
        </w:rPr>
        <w:t>Nandankar</w:t>
      </w:r>
      <w:proofErr w:type="spellEnd"/>
      <w:r w:rsidRPr="00A119F0">
        <w:rPr>
          <w:rFonts w:eastAsia="Arial"/>
          <w:i/>
          <w:color w:val="000000"/>
          <w:sz w:val="18"/>
          <w:shd w:val="clear" w:color="auto" w:fill="FFFFFF"/>
          <w:lang w:val="en-GB" w:eastAsia="en-IN"/>
        </w:rPr>
        <w:t xml:space="preserve">, P., </w:t>
      </w:r>
      <w:proofErr w:type="spellStart"/>
      <w:r w:rsidRPr="00A119F0">
        <w:rPr>
          <w:rFonts w:eastAsia="Arial"/>
          <w:i/>
          <w:color w:val="000000"/>
          <w:sz w:val="18"/>
          <w:shd w:val="clear" w:color="auto" w:fill="FFFFFF"/>
          <w:lang w:val="en-GB" w:eastAsia="en-IN"/>
        </w:rPr>
        <w:t>Dasarwar</w:t>
      </w:r>
      <w:proofErr w:type="spellEnd"/>
      <w:r w:rsidRPr="00A119F0">
        <w:rPr>
          <w:rFonts w:eastAsia="Arial"/>
          <w:i/>
          <w:color w:val="000000"/>
          <w:sz w:val="18"/>
          <w:shd w:val="clear" w:color="auto" w:fill="FFFFFF"/>
          <w:lang w:val="en-GB" w:eastAsia="en-IN"/>
        </w:rPr>
        <w:t xml:space="preserve">, A., </w:t>
      </w:r>
      <w:proofErr w:type="spellStart"/>
      <w:r w:rsidRPr="00A119F0">
        <w:rPr>
          <w:rFonts w:eastAsia="Arial"/>
          <w:i/>
          <w:color w:val="000000"/>
          <w:sz w:val="18"/>
          <w:shd w:val="clear" w:color="auto" w:fill="FFFFFF"/>
          <w:lang w:val="en-GB" w:eastAsia="en-IN"/>
        </w:rPr>
        <w:t>Kachare</w:t>
      </w:r>
      <w:proofErr w:type="spellEnd"/>
      <w:r w:rsidRPr="00A119F0">
        <w:rPr>
          <w:rFonts w:eastAsia="Arial"/>
          <w:i/>
          <w:color w:val="000000"/>
          <w:sz w:val="18"/>
          <w:shd w:val="clear" w:color="auto" w:fill="FFFFFF"/>
          <w:lang w:val="en-GB" w:eastAsia="en-IN"/>
        </w:rPr>
        <w:t>, G., “Comparison of improved converter topologies for high voltage gain</w:t>
      </w:r>
      <w:r w:rsidRPr="00A119F0">
        <w:rPr>
          <w:rFonts w:eastAsia="Arial"/>
          <w:i/>
          <w:color w:val="000000"/>
          <w:sz w:val="18"/>
          <w:lang w:val="en-GB" w:eastAsia="en-IN"/>
        </w:rPr>
        <w:t>,</w:t>
      </w:r>
      <w:proofErr w:type="gramStart"/>
      <w:r w:rsidRPr="00A119F0">
        <w:rPr>
          <w:rFonts w:eastAsia="Arial"/>
          <w:i/>
          <w:color w:val="000000"/>
          <w:sz w:val="18"/>
          <w:lang w:val="en-GB" w:eastAsia="en-IN"/>
        </w:rPr>
        <w:t xml:space="preserve">”  </w:t>
      </w:r>
      <w:r w:rsidRPr="00A119F0">
        <w:rPr>
          <w:rFonts w:eastAsia="Arial"/>
          <w:i/>
          <w:color w:val="222222"/>
          <w:sz w:val="18"/>
          <w:shd w:val="clear" w:color="auto" w:fill="FFFFFF"/>
          <w:lang w:val="en-GB" w:eastAsia="en-IN"/>
        </w:rPr>
        <w:t>International</w:t>
      </w:r>
      <w:proofErr w:type="gramEnd"/>
      <w:r w:rsidRPr="00A119F0">
        <w:rPr>
          <w:rFonts w:eastAsia="Arial"/>
          <w:i/>
          <w:color w:val="222222"/>
          <w:sz w:val="18"/>
          <w:shd w:val="clear" w:color="auto" w:fill="FFFFFF"/>
          <w:lang w:val="en-GB" w:eastAsia="en-IN"/>
        </w:rPr>
        <w:t xml:space="preserve"> Conference on Communication Information and Computing Technology (ICCICT), (2018), </w:t>
      </w:r>
      <w:r w:rsidRPr="00073B1B">
        <w:rPr>
          <w:rFonts w:eastAsia="Arial"/>
          <w:bCs/>
          <w:i/>
          <w:color w:val="000000"/>
          <w:sz w:val="18"/>
          <w:shd w:val="clear" w:color="auto" w:fill="FFFFFF"/>
          <w:lang w:val="en-GB" w:eastAsia="en-IN"/>
        </w:rPr>
        <w:t>DOI</w:t>
      </w:r>
      <w:r w:rsidRPr="00A119F0">
        <w:rPr>
          <w:rFonts w:eastAsia="Arial"/>
          <w:b/>
          <w:bCs/>
          <w:i/>
          <w:color w:val="000000"/>
          <w:sz w:val="18"/>
          <w:shd w:val="clear" w:color="auto" w:fill="FFFFFF"/>
          <w:lang w:val="en-GB" w:eastAsia="en-IN"/>
        </w:rPr>
        <w:t>: </w:t>
      </w:r>
      <w:r w:rsidRPr="00A119F0">
        <w:rPr>
          <w:rFonts w:eastAsia="Arial"/>
          <w:i/>
          <w:color w:val="000000"/>
          <w:sz w:val="18"/>
          <w:shd w:val="clear" w:color="auto" w:fill="FFFFFF"/>
          <w:lang w:val="en-GB" w:eastAsia="en-IN"/>
        </w:rPr>
        <w:t>10.1109/ICCICT.2018.8325893</w:t>
      </w:r>
      <w:r w:rsidRPr="00A119F0">
        <w:rPr>
          <w:rFonts w:eastAsia="Arial"/>
          <w:i/>
          <w:color w:val="000000"/>
          <w:sz w:val="18"/>
          <w:lang w:val="en-GB" w:eastAsia="en-IN"/>
        </w:rPr>
        <w:t>.</w:t>
      </w:r>
    </w:p>
    <w:p w14:paraId="33DA79EC" w14:textId="77777777" w:rsidR="00FE09B0" w:rsidRPr="00FE09B0" w:rsidRDefault="00FE09B0" w:rsidP="00FE09B0">
      <w:pPr>
        <w:autoSpaceDE w:val="0"/>
        <w:autoSpaceDN w:val="0"/>
        <w:adjustRightInd w:val="0"/>
        <w:ind w:left="431"/>
        <w:jc w:val="both"/>
        <w:rPr>
          <w:rFonts w:eastAsia="Times New Roman"/>
          <w:color w:val="000000"/>
          <w:lang w:val="en-IN" w:bidi="mr-IN"/>
        </w:rPr>
      </w:pPr>
    </w:p>
    <w:p w14:paraId="25CB9F86" w14:textId="77777777" w:rsidR="00FD656F" w:rsidRDefault="00FD656F" w:rsidP="00EF4407">
      <w:pPr>
        <w:spacing w:before="160" w:after="160"/>
        <w:jc w:val="both"/>
      </w:pPr>
    </w:p>
    <w:p w14:paraId="50BAE5F6" w14:textId="6D80772C" w:rsidR="0032282C" w:rsidRPr="00EF4407" w:rsidRDefault="0032282C" w:rsidP="00EF4407">
      <w:pPr>
        <w:spacing w:before="160" w:after="160"/>
        <w:jc w:val="both"/>
        <w:rPr>
          <w:rFonts w:eastAsia="Times New Roman"/>
          <w:color w:val="000000" w:themeColor="text1"/>
          <w:sz w:val="16"/>
          <w:szCs w:val="16"/>
        </w:rPr>
      </w:pPr>
    </w:p>
    <w:p w14:paraId="05A1446E" w14:textId="77777777" w:rsidR="0032282C" w:rsidRPr="00523B9F" w:rsidRDefault="0032282C" w:rsidP="00523B9F">
      <w:pPr>
        <w:jc w:val="both"/>
      </w:pPr>
    </w:p>
    <w:p w14:paraId="553C7A4F" w14:textId="77777777" w:rsidR="00523B9F" w:rsidRDefault="00523B9F" w:rsidP="0055330D">
      <w:pPr>
        <w:pStyle w:val="BodyText"/>
        <w:ind w:firstLine="0"/>
      </w:pPr>
    </w:p>
    <w:p w14:paraId="36B8AEF1" w14:textId="77777777" w:rsidR="00523B9F" w:rsidRDefault="00523B9F" w:rsidP="0055330D">
      <w:pPr>
        <w:pStyle w:val="BodyText"/>
        <w:ind w:firstLine="0"/>
      </w:pPr>
    </w:p>
    <w:p w14:paraId="61D26953" w14:textId="77777777" w:rsidR="00523B9F" w:rsidRDefault="00523B9F" w:rsidP="0055330D">
      <w:pPr>
        <w:pStyle w:val="BodyText"/>
        <w:ind w:firstLine="0"/>
      </w:pPr>
    </w:p>
    <w:p w14:paraId="363E9AE8" w14:textId="77777777" w:rsidR="00523B9F" w:rsidRDefault="00523B9F" w:rsidP="0055330D">
      <w:pPr>
        <w:pStyle w:val="BodyText"/>
        <w:ind w:firstLine="0"/>
      </w:pPr>
    </w:p>
    <w:p w14:paraId="3D8EB644" w14:textId="77777777" w:rsidR="00523B9F" w:rsidRDefault="00523B9F" w:rsidP="0055330D">
      <w:pPr>
        <w:pStyle w:val="BodyText"/>
        <w:ind w:firstLine="0"/>
      </w:pPr>
    </w:p>
    <w:p w14:paraId="5B2799FE" w14:textId="77777777" w:rsidR="00523B9F" w:rsidRDefault="00523B9F" w:rsidP="0055330D">
      <w:pPr>
        <w:pStyle w:val="BodyText"/>
        <w:ind w:firstLine="0"/>
      </w:pPr>
    </w:p>
    <w:p w14:paraId="01AB7DF3" w14:textId="77777777" w:rsidR="00523B9F" w:rsidRDefault="00523B9F" w:rsidP="0055330D">
      <w:pPr>
        <w:pStyle w:val="BodyText"/>
        <w:ind w:firstLine="0"/>
      </w:pPr>
    </w:p>
    <w:sectPr w:rsidR="00523B9F" w:rsidSect="00DE65F1">
      <w:type w:val="continuous"/>
      <w:pgSz w:w="11906" w:h="16838" w:code="9"/>
      <w:pgMar w:top="1080" w:right="907" w:bottom="1440" w:left="907" w:header="720" w:footer="720"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B8176" w14:textId="77777777" w:rsidR="00196783" w:rsidRDefault="00196783" w:rsidP="001A3B3D">
      <w:r>
        <w:separator/>
      </w:r>
    </w:p>
  </w:endnote>
  <w:endnote w:type="continuationSeparator" w:id="0">
    <w:p w14:paraId="48A3CAC6" w14:textId="77777777" w:rsidR="00196783" w:rsidRDefault="0019678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Mono">
    <w:charset w:val="00"/>
    <w:family w:val="modern"/>
    <w:pitch w:val="fixed"/>
    <w:sig w:usb0="E00002FF" w:usb1="1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838088"/>
      <w:docPartObj>
        <w:docPartGallery w:val="Page Numbers (Bottom of Page)"/>
        <w:docPartUnique/>
      </w:docPartObj>
    </w:sdtPr>
    <w:sdtEndPr>
      <w:rPr>
        <w:noProof/>
      </w:rPr>
    </w:sdtEndPr>
    <w:sdtContent>
      <w:p w14:paraId="1A2EB1A3" w14:textId="101BD817" w:rsidR="00DE65F1" w:rsidRDefault="00DE65F1">
        <w:pPr>
          <w:pStyle w:val="Footer"/>
        </w:pPr>
        <w:r>
          <w:fldChar w:fldCharType="begin"/>
        </w:r>
        <w:r>
          <w:instrText xml:space="preserve"> PAGE   \* MERGEFORMAT </w:instrText>
        </w:r>
        <w:r>
          <w:fldChar w:fldCharType="separate"/>
        </w:r>
        <w:r w:rsidR="00CC4254">
          <w:rPr>
            <w:noProof/>
          </w:rPr>
          <w:t>20</w:t>
        </w:r>
        <w:r>
          <w:rPr>
            <w:noProof/>
          </w:rPr>
          <w:fldChar w:fldCharType="end"/>
        </w:r>
      </w:p>
    </w:sdtContent>
  </w:sdt>
  <w:p w14:paraId="47F196B0" w14:textId="77777777" w:rsidR="00DE65F1" w:rsidRDefault="00DE65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534466"/>
      <w:docPartObj>
        <w:docPartGallery w:val="Page Numbers (Bottom of Page)"/>
        <w:docPartUnique/>
      </w:docPartObj>
    </w:sdtPr>
    <w:sdtEndPr>
      <w:rPr>
        <w:noProof/>
      </w:rPr>
    </w:sdtEndPr>
    <w:sdtContent>
      <w:p w14:paraId="4251C058" w14:textId="7FAA2790" w:rsidR="00DE65F1" w:rsidRDefault="00DE65F1">
        <w:pPr>
          <w:pStyle w:val="Footer"/>
        </w:pPr>
        <w:r>
          <w:fldChar w:fldCharType="begin"/>
        </w:r>
        <w:r>
          <w:instrText xml:space="preserve"> PAGE   \* MERGEFORMAT </w:instrText>
        </w:r>
        <w:r>
          <w:fldChar w:fldCharType="separate"/>
        </w:r>
        <w:r w:rsidR="00CC4254">
          <w:rPr>
            <w:noProof/>
          </w:rPr>
          <w:t>13</w:t>
        </w:r>
        <w:r>
          <w:rPr>
            <w:noProof/>
          </w:rPr>
          <w:fldChar w:fldCharType="end"/>
        </w:r>
      </w:p>
    </w:sdtContent>
  </w:sdt>
  <w:p w14:paraId="7F443EFF" w14:textId="42F9B80E"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58A39" w14:textId="77777777" w:rsidR="00196783" w:rsidRDefault="00196783" w:rsidP="001A3B3D">
      <w:r>
        <w:separator/>
      </w:r>
    </w:p>
  </w:footnote>
  <w:footnote w:type="continuationSeparator" w:id="0">
    <w:p w14:paraId="27122163" w14:textId="77777777" w:rsidR="00196783" w:rsidRDefault="00196783" w:rsidP="001A3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5C61E" w14:textId="77777777" w:rsidR="002F7291" w:rsidRPr="00DE65F1" w:rsidRDefault="002F7291" w:rsidP="002F7291">
    <w:pPr>
      <w:jc w:val="both"/>
      <w:outlineLvl w:val="4"/>
      <w:rPr>
        <w:b/>
        <w:sz w:val="22"/>
        <w:szCs w:val="22"/>
      </w:rPr>
    </w:pPr>
    <w:r w:rsidRPr="00DE65F1">
      <w:rPr>
        <w:b/>
        <w:color w:val="000000" w:themeColor="text1"/>
        <w:sz w:val="22"/>
        <w:szCs w:val="22"/>
        <w:shd w:val="clear" w:color="auto" w:fill="FFFFFF"/>
      </w:rPr>
      <w:t>https://doi.org/10.46335/IJIES.2024.9.10.</w:t>
    </w:r>
    <w:r>
      <w:rPr>
        <w:b/>
        <w:color w:val="000000" w:themeColor="text1"/>
        <w:sz w:val="22"/>
        <w:szCs w:val="22"/>
        <w:shd w:val="clear" w:color="auto" w:fill="FFFFFF"/>
      </w:rPr>
      <w:t>3</w:t>
    </w:r>
    <w:r w:rsidRPr="00DE65F1">
      <w:rPr>
        <w:b/>
        <w:color w:val="000000" w:themeColor="text1"/>
        <w:sz w:val="22"/>
        <w:szCs w:val="22"/>
      </w:rPr>
      <w:t xml:space="preserve">  </w:t>
    </w:r>
    <w:r w:rsidRPr="00DE65F1">
      <w:rPr>
        <w:sz w:val="22"/>
        <w:szCs w:val="22"/>
      </w:rPr>
      <w:t xml:space="preserve">                                                                </w:t>
    </w:r>
    <w:r>
      <w:rPr>
        <w:sz w:val="22"/>
        <w:szCs w:val="22"/>
      </w:rPr>
      <w:t xml:space="preserve">           </w:t>
    </w:r>
    <w:r w:rsidRPr="00DE65F1">
      <w:rPr>
        <w:b/>
        <w:sz w:val="22"/>
        <w:szCs w:val="22"/>
      </w:rPr>
      <w:t>e-ISSN: 2456-3463</w:t>
    </w:r>
  </w:p>
  <w:p w14:paraId="0B6E5FD8" w14:textId="7B6042A2" w:rsidR="002F7291" w:rsidRPr="00DE65F1" w:rsidRDefault="002F7291" w:rsidP="002F7291">
    <w:pPr>
      <w:jc w:val="left"/>
      <w:outlineLvl w:val="4"/>
      <w:rPr>
        <w:b/>
        <w:sz w:val="22"/>
        <w:szCs w:val="22"/>
      </w:rPr>
    </w:pPr>
    <w:r w:rsidRPr="00DE65F1">
      <w:rPr>
        <w:b/>
        <w:sz w:val="22"/>
        <w:szCs w:val="22"/>
      </w:rPr>
      <w:t xml:space="preserve">Vol. 9, No. 10, 2024, PP. </w:t>
    </w:r>
    <w:r>
      <w:rPr>
        <w:b/>
        <w:sz w:val="22"/>
        <w:szCs w:val="22"/>
      </w:rPr>
      <w:t>13</w:t>
    </w:r>
    <w:r w:rsidR="00FB7EAF">
      <w:rPr>
        <w:b/>
        <w:sz w:val="22"/>
        <w:szCs w:val="22"/>
      </w:rPr>
      <w:t>-20</w:t>
    </w:r>
    <w:r w:rsidRPr="00DE65F1">
      <w:rPr>
        <w:b/>
        <w:sz w:val="22"/>
        <w:szCs w:val="22"/>
      </w:rPr>
      <w:tab/>
    </w:r>
    <w:r w:rsidRPr="00DE65F1">
      <w:rPr>
        <w:b/>
        <w:sz w:val="22"/>
        <w:szCs w:val="22"/>
      </w:rPr>
      <w:tab/>
    </w:r>
    <w:r w:rsidRPr="00DE65F1">
      <w:rPr>
        <w:b/>
        <w:sz w:val="22"/>
        <w:szCs w:val="22"/>
      </w:rPr>
      <w:tab/>
    </w:r>
    <w:r w:rsidRPr="00DE65F1">
      <w:rPr>
        <w:b/>
        <w:sz w:val="22"/>
        <w:szCs w:val="22"/>
      </w:rPr>
      <w:tab/>
    </w:r>
    <w:r w:rsidRPr="00DE65F1">
      <w:rPr>
        <w:b/>
        <w:sz w:val="22"/>
        <w:szCs w:val="22"/>
      </w:rPr>
      <w:tab/>
    </w:r>
    <w:r w:rsidRPr="00DE65F1">
      <w:rPr>
        <w:b/>
        <w:sz w:val="22"/>
        <w:szCs w:val="22"/>
      </w:rPr>
      <w:tab/>
      <w:t xml:space="preserve">                   </w:t>
    </w:r>
  </w:p>
  <w:p w14:paraId="245F8703" w14:textId="77777777" w:rsidR="002F7291" w:rsidRPr="00DE65F1" w:rsidRDefault="002F7291" w:rsidP="002F7291">
    <w:pPr>
      <w:pStyle w:val="Header"/>
      <w:tabs>
        <w:tab w:val="clear" w:pos="9360"/>
        <w:tab w:val="left" w:pos="5040"/>
      </w:tabs>
      <w:jc w:val="left"/>
      <w:rPr>
        <w:b/>
        <w:i/>
        <w:sz w:val="22"/>
        <w:szCs w:val="22"/>
      </w:rPr>
    </w:pPr>
    <w:r>
      <w:rPr>
        <w:b/>
        <w:i/>
        <w:sz w:val="22"/>
        <w:szCs w:val="22"/>
      </w:rPr>
      <w:tab/>
    </w:r>
    <w:r>
      <w:rPr>
        <w:b/>
        <w:i/>
        <w:sz w:val="22"/>
        <w:szCs w:val="22"/>
      </w:rPr>
      <w:tab/>
    </w:r>
    <w:r>
      <w:rPr>
        <w:b/>
        <w:i/>
        <w:sz w:val="22"/>
        <w:szCs w:val="22"/>
      </w:rPr>
      <w:tab/>
    </w:r>
  </w:p>
  <w:p w14:paraId="7FCB31A3" w14:textId="77777777" w:rsidR="002F7291" w:rsidRPr="00DE65F1" w:rsidRDefault="002F7291" w:rsidP="002F7291">
    <w:pPr>
      <w:pStyle w:val="Header"/>
      <w:rPr>
        <w:sz w:val="22"/>
        <w:szCs w:val="22"/>
      </w:rPr>
    </w:pPr>
    <w:r w:rsidRPr="00DE65F1">
      <w:rPr>
        <w:b/>
        <w:i/>
        <w:sz w:val="22"/>
        <w:szCs w:val="22"/>
      </w:rPr>
      <w:t>International Journal of Innovations in Engineering and Science,   www.ijies.net</w:t>
    </w:r>
  </w:p>
  <w:p w14:paraId="11E209D3" w14:textId="77777777" w:rsidR="002F7291" w:rsidRDefault="002F7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B170" w14:textId="77777777" w:rsidR="002F7291" w:rsidRPr="00DE65F1" w:rsidRDefault="002F7291" w:rsidP="002F7291">
    <w:pPr>
      <w:jc w:val="both"/>
      <w:outlineLvl w:val="4"/>
      <w:rPr>
        <w:b/>
        <w:sz w:val="22"/>
        <w:szCs w:val="22"/>
      </w:rPr>
    </w:pPr>
    <w:r w:rsidRPr="00DE65F1">
      <w:rPr>
        <w:b/>
        <w:color w:val="000000" w:themeColor="text1"/>
        <w:sz w:val="22"/>
        <w:szCs w:val="22"/>
        <w:shd w:val="clear" w:color="auto" w:fill="FFFFFF"/>
      </w:rPr>
      <w:t>https://doi.org/10.46335/IJIES.2024.9.10.</w:t>
    </w:r>
    <w:r>
      <w:rPr>
        <w:b/>
        <w:color w:val="000000" w:themeColor="text1"/>
        <w:sz w:val="22"/>
        <w:szCs w:val="22"/>
        <w:shd w:val="clear" w:color="auto" w:fill="FFFFFF"/>
      </w:rPr>
      <w:t>3</w:t>
    </w:r>
    <w:r w:rsidRPr="00DE65F1">
      <w:rPr>
        <w:b/>
        <w:color w:val="000000" w:themeColor="text1"/>
        <w:sz w:val="22"/>
        <w:szCs w:val="22"/>
      </w:rPr>
      <w:t xml:space="preserve">  </w:t>
    </w:r>
    <w:r w:rsidRPr="00DE65F1">
      <w:rPr>
        <w:sz w:val="22"/>
        <w:szCs w:val="22"/>
      </w:rPr>
      <w:t xml:space="preserve">                                                                </w:t>
    </w:r>
    <w:r>
      <w:rPr>
        <w:sz w:val="22"/>
        <w:szCs w:val="22"/>
      </w:rPr>
      <w:t xml:space="preserve">           </w:t>
    </w:r>
    <w:r w:rsidRPr="00DE65F1">
      <w:rPr>
        <w:b/>
        <w:sz w:val="22"/>
        <w:szCs w:val="22"/>
      </w:rPr>
      <w:t>e-ISSN: 2456-3463</w:t>
    </w:r>
  </w:p>
  <w:p w14:paraId="0470FA2C" w14:textId="25B36827" w:rsidR="002F7291" w:rsidRPr="00DE65F1" w:rsidRDefault="002F7291" w:rsidP="002F7291">
    <w:pPr>
      <w:jc w:val="left"/>
      <w:outlineLvl w:val="4"/>
      <w:rPr>
        <w:b/>
        <w:sz w:val="22"/>
        <w:szCs w:val="22"/>
      </w:rPr>
    </w:pPr>
    <w:r w:rsidRPr="00DE65F1">
      <w:rPr>
        <w:b/>
        <w:sz w:val="22"/>
        <w:szCs w:val="22"/>
      </w:rPr>
      <w:t xml:space="preserve">Vol. 9, No. 10, 2024, PP. </w:t>
    </w:r>
    <w:r>
      <w:rPr>
        <w:b/>
        <w:sz w:val="22"/>
        <w:szCs w:val="22"/>
      </w:rPr>
      <w:t>13</w:t>
    </w:r>
    <w:r w:rsidR="00A119F0">
      <w:rPr>
        <w:b/>
        <w:sz w:val="22"/>
        <w:szCs w:val="22"/>
      </w:rPr>
      <w:t>-20</w:t>
    </w:r>
    <w:r w:rsidRPr="00DE65F1">
      <w:rPr>
        <w:b/>
        <w:sz w:val="22"/>
        <w:szCs w:val="22"/>
      </w:rPr>
      <w:tab/>
    </w:r>
    <w:r w:rsidRPr="00DE65F1">
      <w:rPr>
        <w:b/>
        <w:sz w:val="22"/>
        <w:szCs w:val="22"/>
      </w:rPr>
      <w:tab/>
    </w:r>
    <w:r w:rsidRPr="00DE65F1">
      <w:rPr>
        <w:b/>
        <w:sz w:val="22"/>
        <w:szCs w:val="22"/>
      </w:rPr>
      <w:tab/>
    </w:r>
    <w:r w:rsidRPr="00DE65F1">
      <w:rPr>
        <w:b/>
        <w:sz w:val="22"/>
        <w:szCs w:val="22"/>
      </w:rPr>
      <w:tab/>
    </w:r>
    <w:r w:rsidRPr="00DE65F1">
      <w:rPr>
        <w:b/>
        <w:sz w:val="22"/>
        <w:szCs w:val="22"/>
      </w:rPr>
      <w:tab/>
    </w:r>
    <w:r w:rsidRPr="00DE65F1">
      <w:rPr>
        <w:b/>
        <w:sz w:val="22"/>
        <w:szCs w:val="22"/>
      </w:rPr>
      <w:tab/>
      <w:t xml:space="preserve">                   </w:t>
    </w:r>
  </w:p>
  <w:p w14:paraId="7D3A0D59" w14:textId="77777777" w:rsidR="002F7291" w:rsidRPr="00DE65F1" w:rsidRDefault="002F7291" w:rsidP="002F7291">
    <w:pPr>
      <w:pStyle w:val="Header"/>
      <w:tabs>
        <w:tab w:val="clear" w:pos="9360"/>
        <w:tab w:val="left" w:pos="5040"/>
      </w:tabs>
      <w:jc w:val="left"/>
      <w:rPr>
        <w:b/>
        <w:i/>
        <w:sz w:val="22"/>
        <w:szCs w:val="22"/>
      </w:rPr>
    </w:pPr>
    <w:r>
      <w:rPr>
        <w:b/>
        <w:i/>
        <w:sz w:val="22"/>
        <w:szCs w:val="22"/>
      </w:rPr>
      <w:tab/>
    </w:r>
    <w:r>
      <w:rPr>
        <w:b/>
        <w:i/>
        <w:sz w:val="22"/>
        <w:szCs w:val="22"/>
      </w:rPr>
      <w:tab/>
    </w:r>
    <w:r>
      <w:rPr>
        <w:b/>
        <w:i/>
        <w:sz w:val="22"/>
        <w:szCs w:val="22"/>
      </w:rPr>
      <w:tab/>
    </w:r>
  </w:p>
  <w:p w14:paraId="371F0558" w14:textId="77777777" w:rsidR="002F7291" w:rsidRPr="00DE65F1" w:rsidRDefault="002F7291" w:rsidP="002F7291">
    <w:pPr>
      <w:pStyle w:val="Header"/>
      <w:rPr>
        <w:sz w:val="22"/>
        <w:szCs w:val="22"/>
      </w:rPr>
    </w:pPr>
    <w:r w:rsidRPr="00DE65F1">
      <w:rPr>
        <w:b/>
        <w:i/>
        <w:sz w:val="22"/>
        <w:szCs w:val="22"/>
      </w:rPr>
      <w:t>International Journal of Innovations in Engineering and Science,   www.ijies.net</w:t>
    </w:r>
  </w:p>
  <w:p w14:paraId="5A125D7A" w14:textId="353802D1" w:rsidR="00DE65F1" w:rsidRPr="00DE65F1" w:rsidRDefault="00DE65F1">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0DD3BC9"/>
    <w:multiLevelType w:val="hybridMultilevel"/>
    <w:tmpl w:val="DB8C05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56771F3"/>
    <w:multiLevelType w:val="hybridMultilevel"/>
    <w:tmpl w:val="F61058F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nsid w:val="3CDC727A"/>
    <w:multiLevelType w:val="hybridMultilevel"/>
    <w:tmpl w:val="12360A06"/>
    <w:lvl w:ilvl="0" w:tplc="9C7A6A98">
      <w:start w:val="1"/>
      <w:numFmt w:val="decimal"/>
      <w:lvlText w:val="[%1]"/>
      <w:lvlJc w:val="left"/>
      <w:pPr>
        <w:ind w:left="720" w:hanging="360"/>
      </w:pPr>
      <w:rPr>
        <w:rFonts w:ascii="Times New Roman" w:hAnsi="Times New Roman" w:cs="Times New Roman" w:hint="default"/>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0246577"/>
    <w:multiLevelType w:val="hybridMultilevel"/>
    <w:tmpl w:val="5616058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189603E"/>
    <w:multiLevelType w:val="multilevel"/>
    <w:tmpl w:val="0AB06E12"/>
    <w:lvl w:ilvl="0">
      <w:start w:val="1"/>
      <w:numFmt w:val="upperRoman"/>
      <w:pStyle w:val="Heading1"/>
      <w:lvlText w:val="%1."/>
      <w:lvlJc w:val="center"/>
      <w:pPr>
        <w:tabs>
          <w:tab w:val="num" w:pos="441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3B5B42"/>
    <w:multiLevelType w:val="hybridMultilevel"/>
    <w:tmpl w:val="D0F04562"/>
    <w:lvl w:ilvl="0" w:tplc="575E1546">
      <w:start w:val="1"/>
      <w:numFmt w:val="decimal"/>
      <w:lvlText w:val="%1."/>
      <w:lvlJc w:val="left"/>
      <w:pPr>
        <w:ind w:left="720" w:hanging="360"/>
      </w:pPr>
      <w:rPr>
        <w:rFonts w:ascii="Times New Roman"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3F5B5A"/>
    <w:multiLevelType w:val="hybridMultilevel"/>
    <w:tmpl w:val="8A7ADFB6"/>
    <w:lvl w:ilvl="0" w:tplc="EC225724">
      <w:start w:val="1"/>
      <w:numFmt w:val="decimal"/>
      <w:lvlText w:val="%1."/>
      <w:lvlJc w:val="left"/>
      <w:pPr>
        <w:ind w:left="720" w:hanging="360"/>
      </w:pPr>
    </w:lvl>
    <w:lvl w:ilvl="1" w:tplc="85C0A924">
      <w:start w:val="1"/>
      <w:numFmt w:val="lowerLetter"/>
      <w:lvlText w:val="%2."/>
      <w:lvlJc w:val="left"/>
      <w:pPr>
        <w:ind w:left="1440" w:hanging="360"/>
      </w:pPr>
    </w:lvl>
    <w:lvl w:ilvl="2" w:tplc="7520B676">
      <w:start w:val="1"/>
      <w:numFmt w:val="lowerRoman"/>
      <w:lvlText w:val="%3."/>
      <w:lvlJc w:val="right"/>
      <w:pPr>
        <w:ind w:left="2160" w:hanging="180"/>
      </w:pPr>
    </w:lvl>
    <w:lvl w:ilvl="3" w:tplc="519C4AF2">
      <w:start w:val="1"/>
      <w:numFmt w:val="decimal"/>
      <w:lvlText w:val="%4."/>
      <w:lvlJc w:val="left"/>
      <w:pPr>
        <w:ind w:left="2880" w:hanging="360"/>
      </w:pPr>
    </w:lvl>
    <w:lvl w:ilvl="4" w:tplc="A0844E5A">
      <w:start w:val="1"/>
      <w:numFmt w:val="lowerLetter"/>
      <w:lvlText w:val="%5."/>
      <w:lvlJc w:val="left"/>
      <w:pPr>
        <w:ind w:left="3600" w:hanging="360"/>
      </w:pPr>
    </w:lvl>
    <w:lvl w:ilvl="5" w:tplc="2F1CB690">
      <w:start w:val="1"/>
      <w:numFmt w:val="lowerRoman"/>
      <w:lvlText w:val="%6."/>
      <w:lvlJc w:val="right"/>
      <w:pPr>
        <w:ind w:left="4320" w:hanging="180"/>
      </w:pPr>
    </w:lvl>
    <w:lvl w:ilvl="6" w:tplc="48289698">
      <w:start w:val="1"/>
      <w:numFmt w:val="decimal"/>
      <w:lvlText w:val="%7."/>
      <w:lvlJc w:val="left"/>
      <w:pPr>
        <w:ind w:left="5040" w:hanging="360"/>
      </w:pPr>
    </w:lvl>
    <w:lvl w:ilvl="7" w:tplc="DA2AFBDA">
      <w:start w:val="1"/>
      <w:numFmt w:val="lowerLetter"/>
      <w:lvlText w:val="%8."/>
      <w:lvlJc w:val="left"/>
      <w:pPr>
        <w:ind w:left="5760" w:hanging="360"/>
      </w:pPr>
    </w:lvl>
    <w:lvl w:ilvl="8" w:tplc="6870ECB8">
      <w:start w:val="1"/>
      <w:numFmt w:val="lowerRoman"/>
      <w:lvlText w:val="%9."/>
      <w:lvlJc w:val="right"/>
      <w:pPr>
        <w:ind w:left="6480" w:hanging="180"/>
      </w:pPr>
    </w:lvl>
  </w:abstractNum>
  <w:abstractNum w:abstractNumId="2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64236930"/>
    <w:multiLevelType w:val="hybridMultilevel"/>
    <w:tmpl w:val="1024A4A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70906A9"/>
    <w:multiLevelType w:val="hybridMultilevel"/>
    <w:tmpl w:val="A54CEA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nsid w:val="7E2D5F0B"/>
    <w:multiLevelType w:val="hybridMultilevel"/>
    <w:tmpl w:val="BDE240E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27"/>
  </w:num>
  <w:num w:numId="3">
    <w:abstractNumId w:val="14"/>
  </w:num>
  <w:num w:numId="4">
    <w:abstractNumId w:val="20"/>
  </w:num>
  <w:num w:numId="5">
    <w:abstractNumId w:val="20"/>
  </w:num>
  <w:num w:numId="6">
    <w:abstractNumId w:val="20"/>
  </w:num>
  <w:num w:numId="7">
    <w:abstractNumId w:val="20"/>
  </w:num>
  <w:num w:numId="8">
    <w:abstractNumId w:val="24"/>
  </w:num>
  <w:num w:numId="9">
    <w:abstractNumId w:val="28"/>
  </w:num>
  <w:num w:numId="10">
    <w:abstractNumId w:val="17"/>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19"/>
  </w:num>
  <w:num w:numId="26">
    <w:abstractNumId w:val="23"/>
  </w:num>
  <w:num w:numId="27">
    <w:abstractNumId w:val="20"/>
  </w:num>
  <w:num w:numId="28">
    <w:abstractNumId w:val="20"/>
  </w:num>
  <w:num w:numId="29">
    <w:abstractNumId w:val="20"/>
  </w:num>
  <w:num w:numId="30">
    <w:abstractNumId w:val="15"/>
  </w:num>
  <w:num w:numId="31">
    <w:abstractNumId w:val="11"/>
  </w:num>
  <w:num w:numId="32">
    <w:abstractNumId w:val="26"/>
  </w:num>
  <w:num w:numId="33">
    <w:abstractNumId w:val="29"/>
  </w:num>
  <w:num w:numId="34">
    <w:abstractNumId w:val="25"/>
  </w:num>
  <w:num w:numId="35">
    <w:abstractNumId w:val="2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17010"/>
    <w:rsid w:val="0004781E"/>
    <w:rsid w:val="000667A2"/>
    <w:rsid w:val="00073B1B"/>
    <w:rsid w:val="0008758A"/>
    <w:rsid w:val="00095C41"/>
    <w:rsid w:val="000C1E68"/>
    <w:rsid w:val="000D046A"/>
    <w:rsid w:val="00115C3D"/>
    <w:rsid w:val="00153EE3"/>
    <w:rsid w:val="00196783"/>
    <w:rsid w:val="001A2EFD"/>
    <w:rsid w:val="001A3B3D"/>
    <w:rsid w:val="001A5FFE"/>
    <w:rsid w:val="001B67DC"/>
    <w:rsid w:val="001E3329"/>
    <w:rsid w:val="001E7742"/>
    <w:rsid w:val="00207006"/>
    <w:rsid w:val="00210857"/>
    <w:rsid w:val="00211160"/>
    <w:rsid w:val="0022264D"/>
    <w:rsid w:val="002254A9"/>
    <w:rsid w:val="00233D97"/>
    <w:rsid w:val="002347A2"/>
    <w:rsid w:val="00251518"/>
    <w:rsid w:val="00263BFC"/>
    <w:rsid w:val="002850E3"/>
    <w:rsid w:val="002913F6"/>
    <w:rsid w:val="002B1A51"/>
    <w:rsid w:val="002C04B2"/>
    <w:rsid w:val="002D629C"/>
    <w:rsid w:val="002F2782"/>
    <w:rsid w:val="002F7291"/>
    <w:rsid w:val="003056B9"/>
    <w:rsid w:val="0032282C"/>
    <w:rsid w:val="00354FCF"/>
    <w:rsid w:val="003676D1"/>
    <w:rsid w:val="0038554F"/>
    <w:rsid w:val="003A19E2"/>
    <w:rsid w:val="003B2B40"/>
    <w:rsid w:val="003B4E04"/>
    <w:rsid w:val="003C727A"/>
    <w:rsid w:val="003E1510"/>
    <w:rsid w:val="003F5A08"/>
    <w:rsid w:val="00420716"/>
    <w:rsid w:val="004325FB"/>
    <w:rsid w:val="004432BA"/>
    <w:rsid w:val="0044407E"/>
    <w:rsid w:val="00447BB9"/>
    <w:rsid w:val="0046031D"/>
    <w:rsid w:val="00473AC9"/>
    <w:rsid w:val="004C1BC5"/>
    <w:rsid w:val="004D03AF"/>
    <w:rsid w:val="004D72B5"/>
    <w:rsid w:val="00523B9F"/>
    <w:rsid w:val="00551B7F"/>
    <w:rsid w:val="0055330D"/>
    <w:rsid w:val="00555DEA"/>
    <w:rsid w:val="0056610F"/>
    <w:rsid w:val="00575BCA"/>
    <w:rsid w:val="005B0344"/>
    <w:rsid w:val="005B520E"/>
    <w:rsid w:val="005B5FB9"/>
    <w:rsid w:val="005D134F"/>
    <w:rsid w:val="005E2800"/>
    <w:rsid w:val="00600EBB"/>
    <w:rsid w:val="00605825"/>
    <w:rsid w:val="00645D22"/>
    <w:rsid w:val="00651A08"/>
    <w:rsid w:val="00654204"/>
    <w:rsid w:val="00670434"/>
    <w:rsid w:val="006B6B66"/>
    <w:rsid w:val="006E0153"/>
    <w:rsid w:val="006F6D3D"/>
    <w:rsid w:val="00715BEA"/>
    <w:rsid w:val="00740EEA"/>
    <w:rsid w:val="00773FFF"/>
    <w:rsid w:val="00794804"/>
    <w:rsid w:val="007B33F1"/>
    <w:rsid w:val="007B6DDA"/>
    <w:rsid w:val="007C0308"/>
    <w:rsid w:val="007C2FF2"/>
    <w:rsid w:val="007D6232"/>
    <w:rsid w:val="007D7FC3"/>
    <w:rsid w:val="007F1F99"/>
    <w:rsid w:val="007F3B80"/>
    <w:rsid w:val="007F768F"/>
    <w:rsid w:val="0080306D"/>
    <w:rsid w:val="0080791D"/>
    <w:rsid w:val="00836367"/>
    <w:rsid w:val="00847364"/>
    <w:rsid w:val="00873603"/>
    <w:rsid w:val="008A2C7D"/>
    <w:rsid w:val="008B6524"/>
    <w:rsid w:val="008C4B23"/>
    <w:rsid w:val="008F6E2C"/>
    <w:rsid w:val="009303D9"/>
    <w:rsid w:val="00933C64"/>
    <w:rsid w:val="0093785B"/>
    <w:rsid w:val="00972203"/>
    <w:rsid w:val="009E7B64"/>
    <w:rsid w:val="009F1D79"/>
    <w:rsid w:val="00A032DF"/>
    <w:rsid w:val="00A059B3"/>
    <w:rsid w:val="00A119F0"/>
    <w:rsid w:val="00A44C2A"/>
    <w:rsid w:val="00AD5A5A"/>
    <w:rsid w:val="00AD6397"/>
    <w:rsid w:val="00AE3409"/>
    <w:rsid w:val="00B11A60"/>
    <w:rsid w:val="00B22613"/>
    <w:rsid w:val="00B44A76"/>
    <w:rsid w:val="00B66D1B"/>
    <w:rsid w:val="00B768D1"/>
    <w:rsid w:val="00B77488"/>
    <w:rsid w:val="00B81FBE"/>
    <w:rsid w:val="00BA1025"/>
    <w:rsid w:val="00BC1AB5"/>
    <w:rsid w:val="00BC3420"/>
    <w:rsid w:val="00BC6E3D"/>
    <w:rsid w:val="00BD670B"/>
    <w:rsid w:val="00BD7F38"/>
    <w:rsid w:val="00BE7D3C"/>
    <w:rsid w:val="00BF5FF6"/>
    <w:rsid w:val="00C0207F"/>
    <w:rsid w:val="00C16117"/>
    <w:rsid w:val="00C3075A"/>
    <w:rsid w:val="00C919A4"/>
    <w:rsid w:val="00CA4392"/>
    <w:rsid w:val="00CC393F"/>
    <w:rsid w:val="00CC4254"/>
    <w:rsid w:val="00CD2B27"/>
    <w:rsid w:val="00D0427F"/>
    <w:rsid w:val="00D1001F"/>
    <w:rsid w:val="00D2176E"/>
    <w:rsid w:val="00D30692"/>
    <w:rsid w:val="00D338C9"/>
    <w:rsid w:val="00D632BE"/>
    <w:rsid w:val="00D72BA5"/>
    <w:rsid w:val="00D72D06"/>
    <w:rsid w:val="00D74C28"/>
    <w:rsid w:val="00D7522C"/>
    <w:rsid w:val="00D7536F"/>
    <w:rsid w:val="00D76668"/>
    <w:rsid w:val="00D96DAF"/>
    <w:rsid w:val="00DE65F1"/>
    <w:rsid w:val="00DF56F5"/>
    <w:rsid w:val="00E07383"/>
    <w:rsid w:val="00E165BC"/>
    <w:rsid w:val="00E61E12"/>
    <w:rsid w:val="00E66E45"/>
    <w:rsid w:val="00E7596C"/>
    <w:rsid w:val="00E81019"/>
    <w:rsid w:val="00E86CE6"/>
    <w:rsid w:val="00E878F2"/>
    <w:rsid w:val="00EA4F53"/>
    <w:rsid w:val="00ED0149"/>
    <w:rsid w:val="00EF4407"/>
    <w:rsid w:val="00EF7DE3"/>
    <w:rsid w:val="00F03103"/>
    <w:rsid w:val="00F271DE"/>
    <w:rsid w:val="00F330B8"/>
    <w:rsid w:val="00F627DA"/>
    <w:rsid w:val="00F638CF"/>
    <w:rsid w:val="00F7288F"/>
    <w:rsid w:val="00F847A6"/>
    <w:rsid w:val="00F9441B"/>
    <w:rsid w:val="00FA4C32"/>
    <w:rsid w:val="00FB7EAF"/>
    <w:rsid w:val="00FD2AB3"/>
    <w:rsid w:val="00FD656F"/>
    <w:rsid w:val="00FE09B0"/>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27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clear" w:pos="4410"/>
        <w:tab w:val="left" w:pos="216"/>
        <w:tab w:val="num" w:pos="57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table" w:styleId="TableGrid">
    <w:name w:val="Table Grid"/>
    <w:basedOn w:val="TableNormal"/>
    <w:rsid w:val="006E0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
    <w:name w:val="Grid Table 4 Accent 3"/>
    <w:basedOn w:val="TableNormal"/>
    <w:uiPriority w:val="49"/>
    <w:rsid w:val="006E015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80306D"/>
    <w:rPr>
      <w:color w:val="666666"/>
    </w:rPr>
  </w:style>
  <w:style w:type="paragraph" w:styleId="Caption">
    <w:name w:val="caption"/>
    <w:basedOn w:val="Normal"/>
    <w:next w:val="Normal"/>
    <w:unhideWhenUsed/>
    <w:qFormat/>
    <w:rsid w:val="00A44C2A"/>
    <w:pPr>
      <w:spacing w:after="200"/>
    </w:pPr>
    <w:rPr>
      <w:i/>
      <w:iCs/>
      <w:color w:val="44546A" w:themeColor="text2"/>
      <w:sz w:val="18"/>
      <w:szCs w:val="18"/>
    </w:rPr>
  </w:style>
  <w:style w:type="paragraph" w:styleId="ListParagraph">
    <w:name w:val="List Paragraph"/>
    <w:basedOn w:val="Normal"/>
    <w:uiPriority w:val="34"/>
    <w:qFormat/>
    <w:rsid w:val="00153EE3"/>
    <w:pPr>
      <w:ind w:left="720"/>
      <w:contextualSpacing/>
    </w:pPr>
  </w:style>
  <w:style w:type="table" w:customStyle="1" w:styleId="TableGrid1">
    <w:name w:val="Table Grid1"/>
    <w:basedOn w:val="TableNormal"/>
    <w:next w:val="TableGrid"/>
    <w:uiPriority w:val="59"/>
    <w:rsid w:val="00BD7F38"/>
    <w:rPr>
      <w:rFonts w:ascii="Cambria" w:eastAsia="Cambria" w:hAnsi="Cambria" w:cs="Mangal"/>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E65F1"/>
    <w:rPr>
      <w:rFonts w:ascii="Tahoma" w:hAnsi="Tahoma" w:cs="Tahoma"/>
      <w:sz w:val="16"/>
      <w:szCs w:val="16"/>
    </w:rPr>
  </w:style>
  <w:style w:type="character" w:customStyle="1" w:styleId="BalloonTextChar">
    <w:name w:val="Balloon Text Char"/>
    <w:basedOn w:val="DefaultParagraphFont"/>
    <w:link w:val="BalloonText"/>
    <w:rsid w:val="00DE65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clear" w:pos="4410"/>
        <w:tab w:val="left" w:pos="216"/>
        <w:tab w:val="num" w:pos="57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table" w:styleId="TableGrid">
    <w:name w:val="Table Grid"/>
    <w:basedOn w:val="TableNormal"/>
    <w:rsid w:val="006E0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
    <w:name w:val="Grid Table 4 Accent 3"/>
    <w:basedOn w:val="TableNormal"/>
    <w:uiPriority w:val="49"/>
    <w:rsid w:val="006E015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80306D"/>
    <w:rPr>
      <w:color w:val="666666"/>
    </w:rPr>
  </w:style>
  <w:style w:type="paragraph" w:styleId="Caption">
    <w:name w:val="caption"/>
    <w:basedOn w:val="Normal"/>
    <w:next w:val="Normal"/>
    <w:unhideWhenUsed/>
    <w:qFormat/>
    <w:rsid w:val="00A44C2A"/>
    <w:pPr>
      <w:spacing w:after="200"/>
    </w:pPr>
    <w:rPr>
      <w:i/>
      <w:iCs/>
      <w:color w:val="44546A" w:themeColor="text2"/>
      <w:sz w:val="18"/>
      <w:szCs w:val="18"/>
    </w:rPr>
  </w:style>
  <w:style w:type="paragraph" w:styleId="ListParagraph">
    <w:name w:val="List Paragraph"/>
    <w:basedOn w:val="Normal"/>
    <w:uiPriority w:val="34"/>
    <w:qFormat/>
    <w:rsid w:val="00153EE3"/>
    <w:pPr>
      <w:ind w:left="720"/>
      <w:contextualSpacing/>
    </w:pPr>
  </w:style>
  <w:style w:type="table" w:customStyle="1" w:styleId="TableGrid1">
    <w:name w:val="Table Grid1"/>
    <w:basedOn w:val="TableNormal"/>
    <w:next w:val="TableGrid"/>
    <w:uiPriority w:val="59"/>
    <w:rsid w:val="00BD7F38"/>
    <w:rPr>
      <w:rFonts w:ascii="Cambria" w:eastAsia="Cambria" w:hAnsi="Cambria" w:cs="Mangal"/>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E65F1"/>
    <w:rPr>
      <w:rFonts w:ascii="Tahoma" w:hAnsi="Tahoma" w:cs="Tahoma"/>
      <w:sz w:val="16"/>
      <w:szCs w:val="16"/>
    </w:rPr>
  </w:style>
  <w:style w:type="character" w:customStyle="1" w:styleId="BalloonTextChar">
    <w:name w:val="Balloon Text Char"/>
    <w:basedOn w:val="DefaultParagraphFont"/>
    <w:link w:val="BalloonText"/>
    <w:rsid w:val="00DE65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D7E5-7E6F-4633-BE2C-836FA14CF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26</cp:revision>
  <cp:lastPrinted>2024-09-29T07:39:00Z</cp:lastPrinted>
  <dcterms:created xsi:type="dcterms:W3CDTF">2024-09-22T18:11:00Z</dcterms:created>
  <dcterms:modified xsi:type="dcterms:W3CDTF">2024-09-29T07:39:00Z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174f5e50b0455fcf6c1b665e2334b04ff0e999fe3bff66dede60f733578b32c7</vt:lpwstr>
  </property>
</Properties>
</file>