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901" w:rsidRDefault="00D34DAC" w:rsidP="00534575">
      <w:pPr>
        <w:pStyle w:val="Default"/>
        <w:spacing w:line="276" w:lineRule="auto"/>
        <w:jc w:val="center"/>
        <w:rPr>
          <w:sz w:val="46"/>
          <w:szCs w:val="46"/>
        </w:rPr>
      </w:pPr>
      <w:r w:rsidRPr="00126E99">
        <w:rPr>
          <w:sz w:val="46"/>
          <w:szCs w:val="46"/>
        </w:rPr>
        <w:t>Parametric</w:t>
      </w:r>
      <w:r w:rsidR="001D5CC1" w:rsidRPr="00126E99">
        <w:rPr>
          <w:sz w:val="46"/>
          <w:szCs w:val="46"/>
        </w:rPr>
        <w:t xml:space="preserve"> study on </w:t>
      </w:r>
      <w:r w:rsidR="00BB1312" w:rsidRPr="00126E99">
        <w:rPr>
          <w:sz w:val="46"/>
          <w:szCs w:val="46"/>
        </w:rPr>
        <w:t>c</w:t>
      </w:r>
      <w:r w:rsidR="001D5CC1" w:rsidRPr="00126E99">
        <w:rPr>
          <w:sz w:val="46"/>
          <w:szCs w:val="46"/>
        </w:rPr>
        <w:t xml:space="preserve">ylindrical </w:t>
      </w:r>
      <w:r w:rsidR="00BB1312" w:rsidRPr="00126E99">
        <w:rPr>
          <w:sz w:val="46"/>
          <w:szCs w:val="46"/>
        </w:rPr>
        <w:t>w</w:t>
      </w:r>
      <w:r w:rsidR="001D5CC1" w:rsidRPr="00126E99">
        <w:rPr>
          <w:sz w:val="46"/>
          <w:szCs w:val="46"/>
        </w:rPr>
        <w:t xml:space="preserve">ater tanks </w:t>
      </w:r>
      <w:r w:rsidRPr="00126E99">
        <w:rPr>
          <w:sz w:val="46"/>
          <w:szCs w:val="46"/>
        </w:rPr>
        <w:t>by</w:t>
      </w:r>
      <w:r w:rsidR="001D5CC1" w:rsidRPr="00126E99">
        <w:rPr>
          <w:sz w:val="46"/>
          <w:szCs w:val="46"/>
        </w:rPr>
        <w:t xml:space="preserve"> varying </w:t>
      </w:r>
      <w:r w:rsidRPr="00126E99">
        <w:rPr>
          <w:sz w:val="46"/>
          <w:szCs w:val="46"/>
        </w:rPr>
        <w:t>their aspect ratio</w:t>
      </w:r>
      <w:r w:rsidR="00BB1312" w:rsidRPr="00126E99">
        <w:rPr>
          <w:sz w:val="46"/>
          <w:szCs w:val="46"/>
        </w:rPr>
        <w:t>s</w:t>
      </w:r>
    </w:p>
    <w:p w:rsidR="00126E99" w:rsidRPr="00126E99" w:rsidRDefault="00126E99" w:rsidP="00534575">
      <w:pPr>
        <w:pStyle w:val="Default"/>
        <w:spacing w:line="276" w:lineRule="auto"/>
        <w:jc w:val="center"/>
        <w:rPr>
          <w:sz w:val="22"/>
          <w:szCs w:val="22"/>
        </w:rPr>
      </w:pPr>
    </w:p>
    <w:p w:rsidR="00126E99" w:rsidRPr="00BF66F8" w:rsidRDefault="00126E99" w:rsidP="00126E99">
      <w:pPr>
        <w:spacing w:line="360" w:lineRule="auto"/>
        <w:ind w:left="709" w:hanging="709"/>
        <w:jc w:val="center"/>
        <w:rPr>
          <w:rFonts w:ascii="Times New Roman" w:hAnsi="Times New Roman" w:cs="Times New Roman"/>
          <w:b/>
          <w:sz w:val="24"/>
          <w:vertAlign w:val="superscript"/>
        </w:rPr>
      </w:pPr>
      <w:r w:rsidRPr="00BF66F8">
        <w:rPr>
          <w:rFonts w:ascii="Times New Roman" w:hAnsi="Times New Roman" w:cs="Times New Roman"/>
          <w:b/>
          <w:sz w:val="24"/>
        </w:rPr>
        <w:t>Mr. Raja Babu</w:t>
      </w:r>
      <w:r w:rsidRPr="00BF66F8">
        <w:rPr>
          <w:rFonts w:ascii="Times New Roman" w:hAnsi="Times New Roman" w:cs="Times New Roman"/>
          <w:b/>
          <w:sz w:val="24"/>
          <w:vertAlign w:val="superscript"/>
        </w:rPr>
        <w:t>1</w:t>
      </w:r>
      <w:r w:rsidRPr="00BF66F8">
        <w:rPr>
          <w:rFonts w:ascii="Times New Roman" w:hAnsi="Times New Roman" w:cs="Times New Roman"/>
          <w:b/>
          <w:sz w:val="24"/>
        </w:rPr>
        <w:t>, Mr. R.C. Singh</w:t>
      </w:r>
      <w:r w:rsidRPr="00BF66F8">
        <w:rPr>
          <w:rFonts w:ascii="Times New Roman" w:hAnsi="Times New Roman" w:cs="Times New Roman"/>
          <w:b/>
          <w:sz w:val="24"/>
          <w:vertAlign w:val="superscript"/>
        </w:rPr>
        <w:t>2</w:t>
      </w:r>
      <w:r w:rsidRPr="00BF66F8">
        <w:rPr>
          <w:rFonts w:ascii="Times New Roman" w:hAnsi="Times New Roman" w:cs="Times New Roman"/>
          <w:b/>
          <w:sz w:val="24"/>
        </w:rPr>
        <w:t xml:space="preserve"> and Dr. Lokesh Singh</w:t>
      </w:r>
      <w:r w:rsidRPr="00BF66F8">
        <w:rPr>
          <w:rFonts w:ascii="Times New Roman" w:hAnsi="Times New Roman" w:cs="Times New Roman"/>
          <w:b/>
          <w:sz w:val="24"/>
          <w:vertAlign w:val="superscript"/>
        </w:rPr>
        <w:t>3</w:t>
      </w:r>
    </w:p>
    <w:p w:rsidR="00126E99" w:rsidRDefault="00126E99" w:rsidP="00126E99">
      <w:pPr>
        <w:pStyle w:val="NoSpacing"/>
        <w:spacing w:line="360" w:lineRule="auto"/>
        <w:ind w:left="709" w:hanging="709"/>
        <w:jc w:val="center"/>
        <w:rPr>
          <w:rFonts w:ascii="Times New Roman" w:hAnsi="Times New Roman"/>
          <w:i/>
          <w:sz w:val="20"/>
        </w:rPr>
      </w:pPr>
      <w:r w:rsidRPr="00BF66F8">
        <w:rPr>
          <w:rFonts w:ascii="Times New Roman" w:hAnsi="Times New Roman"/>
          <w:i/>
          <w:sz w:val="20"/>
          <w:vertAlign w:val="superscript"/>
        </w:rPr>
        <w:t xml:space="preserve">1 </w:t>
      </w:r>
      <w:r w:rsidRPr="00BF66F8">
        <w:rPr>
          <w:rFonts w:ascii="Times New Roman" w:hAnsi="Times New Roman"/>
          <w:i/>
          <w:sz w:val="20"/>
        </w:rPr>
        <w:t>PG Scholar, Dept. of Civil Engineering, RSR Rungta College of Engineering &amp; Technology, Bhilai, Chhattisgarh, India-490020</w:t>
      </w:r>
    </w:p>
    <w:p w:rsidR="00126E99" w:rsidRPr="00BF66F8" w:rsidRDefault="00126E99" w:rsidP="00126E99">
      <w:pPr>
        <w:pStyle w:val="NoSpacing"/>
        <w:spacing w:line="360" w:lineRule="auto"/>
        <w:jc w:val="center"/>
        <w:rPr>
          <w:rFonts w:ascii="Times New Roman" w:hAnsi="Times New Roman"/>
          <w:i/>
          <w:sz w:val="20"/>
        </w:rPr>
      </w:pPr>
      <w:r w:rsidRPr="00BF66F8">
        <w:rPr>
          <w:rFonts w:ascii="Times New Roman" w:hAnsi="Times New Roman"/>
          <w:i/>
          <w:sz w:val="20"/>
          <w:vertAlign w:val="superscript"/>
        </w:rPr>
        <w:t xml:space="preserve">2 </w:t>
      </w:r>
      <w:r w:rsidRPr="00BF66F8">
        <w:rPr>
          <w:rFonts w:ascii="Times New Roman" w:hAnsi="Times New Roman"/>
          <w:i/>
          <w:sz w:val="20"/>
        </w:rPr>
        <w:t>Asst. Professor,</w:t>
      </w:r>
      <w:r w:rsidRPr="00BF66F8">
        <w:rPr>
          <w:rFonts w:ascii="Times New Roman" w:hAnsi="Times New Roman"/>
          <w:i/>
          <w:sz w:val="20"/>
          <w:vertAlign w:val="superscript"/>
        </w:rPr>
        <w:t xml:space="preserve"> </w:t>
      </w:r>
      <w:r w:rsidRPr="00BF66F8">
        <w:rPr>
          <w:rFonts w:ascii="Times New Roman" w:hAnsi="Times New Roman"/>
          <w:i/>
          <w:sz w:val="20"/>
        </w:rPr>
        <w:t>Dept. of Civil Engineering, RSR Rungta College of Engineering &amp; Technology, Bhilai, Chhattisgarh, India-490020</w:t>
      </w:r>
    </w:p>
    <w:p w:rsidR="00D249F9" w:rsidRPr="00126E99" w:rsidRDefault="00E92901" w:rsidP="00126E99">
      <w:pPr>
        <w:spacing w:before="240"/>
        <w:jc w:val="both"/>
        <w:rPr>
          <w:rFonts w:ascii="Times New Roman" w:hAnsi="Times New Roman" w:cs="Times New Roman"/>
          <w:i/>
          <w:sz w:val="20"/>
          <w:szCs w:val="20"/>
        </w:rPr>
      </w:pPr>
      <w:r w:rsidRPr="00126E99">
        <w:rPr>
          <w:rFonts w:ascii="Times New Roman" w:hAnsi="Times New Roman"/>
          <w:b/>
          <w:bCs/>
          <w:i/>
          <w:sz w:val="20"/>
          <w:szCs w:val="20"/>
        </w:rPr>
        <w:t xml:space="preserve">Abstract - </w:t>
      </w:r>
      <w:r w:rsidR="001D5CC1" w:rsidRPr="00126E99">
        <w:rPr>
          <w:rFonts w:ascii="Times New Roman" w:hAnsi="Times New Roman" w:cs="Times New Roman"/>
          <w:i/>
          <w:sz w:val="20"/>
          <w:szCs w:val="20"/>
        </w:rPr>
        <w:t>Safe drinking water is one of the basic elements for humans to sustain healthy life. Reinforced concrete overhead water tanks are widely used to provide the safe drinking water. Most water supply systems in developing countries, such as India, where urbanizing is increasing day by day rely on overhead storage tanks and hence there is need to construct more number of water tanks. Earlier design of water tanks was being done using the working stress method given in IS: 3370 1965. This method leads to thicker and heavily reinforced sections. The use of limit state method of design has been adopted in the revised code IS 3370: 2009 and provision for checking the crack width is also included in this code. This study is carried out to analyze the cost of overhead water tanks of a fixed capacity, having different heights and diameters so as to determine the most economical H/D ratio to be adopted in the design of the tank. This will help the designers in making the choice for their design. To optimize the results and check the accuracy of design, six circular water tanks of 350 kL, with top and bottom dome pattern were designed by varying H/D ratio from 0.50 to 0.75 in STAAD.Pro. After assuring the safety of all the structures, further analysis is done to calculate the cost effectiveness of the structures by comparing the approximate total cost of materials.</w:t>
      </w:r>
    </w:p>
    <w:p w:rsidR="00E92901" w:rsidRPr="00126E99" w:rsidRDefault="00E92901" w:rsidP="00534575">
      <w:pPr>
        <w:pStyle w:val="NoSpacing"/>
        <w:spacing w:after="240" w:line="276" w:lineRule="auto"/>
        <w:ind w:left="900" w:hanging="900"/>
        <w:jc w:val="both"/>
        <w:rPr>
          <w:rFonts w:ascii="Times New Roman" w:hAnsi="Times New Roman"/>
          <w:bCs/>
          <w:i/>
          <w:iCs/>
          <w:sz w:val="20"/>
          <w:szCs w:val="20"/>
        </w:rPr>
      </w:pPr>
      <w:r w:rsidRPr="00126E99">
        <w:rPr>
          <w:rFonts w:ascii="Times New Roman" w:hAnsi="Times New Roman"/>
          <w:b/>
          <w:bCs/>
          <w:i/>
          <w:iCs/>
          <w:sz w:val="20"/>
          <w:szCs w:val="20"/>
        </w:rPr>
        <w:t xml:space="preserve">Keywords: </w:t>
      </w:r>
      <w:r w:rsidR="001D5CC1" w:rsidRPr="00126E99">
        <w:rPr>
          <w:rFonts w:ascii="Times New Roman" w:hAnsi="Times New Roman"/>
          <w:bCs/>
          <w:i/>
          <w:iCs/>
          <w:sz w:val="20"/>
          <w:szCs w:val="20"/>
        </w:rPr>
        <w:t>STAAD.Pro, Water Tank, Aspect ratio, Cost analysis, Design</w:t>
      </w:r>
    </w:p>
    <w:p w:rsidR="00534575" w:rsidRPr="00534575" w:rsidRDefault="00534575" w:rsidP="00534575">
      <w:pPr>
        <w:pStyle w:val="NoSpacing"/>
        <w:spacing w:after="240" w:line="276" w:lineRule="auto"/>
        <w:ind w:left="900" w:hanging="900"/>
        <w:jc w:val="both"/>
        <w:rPr>
          <w:rFonts w:ascii="Times New Roman" w:hAnsi="Times New Roman"/>
          <w:iCs/>
          <w:sz w:val="24"/>
          <w:szCs w:val="24"/>
        </w:rPr>
      </w:pPr>
    </w:p>
    <w:p w:rsidR="00152BB0" w:rsidRPr="00126E99" w:rsidRDefault="00152BB0" w:rsidP="00534575">
      <w:pPr>
        <w:pStyle w:val="NoSpacing"/>
        <w:numPr>
          <w:ilvl w:val="0"/>
          <w:numId w:val="21"/>
        </w:numPr>
        <w:spacing w:before="240" w:line="276" w:lineRule="auto"/>
        <w:ind w:left="360" w:hanging="360"/>
        <w:jc w:val="center"/>
        <w:rPr>
          <w:rFonts w:ascii="Times New Roman" w:hAnsi="Times New Roman"/>
          <w:b/>
          <w:sz w:val="20"/>
          <w:szCs w:val="20"/>
        </w:rPr>
      </w:pPr>
      <w:r w:rsidRPr="00126E99">
        <w:rPr>
          <w:rFonts w:ascii="Times New Roman" w:hAnsi="Times New Roman"/>
          <w:b/>
          <w:sz w:val="20"/>
          <w:szCs w:val="20"/>
        </w:rPr>
        <w:t>INTRODUCTION</w:t>
      </w:r>
    </w:p>
    <w:p w:rsidR="002C507B" w:rsidRPr="00126E99" w:rsidRDefault="003611C5" w:rsidP="00126E99">
      <w:pPr>
        <w:spacing w:before="240"/>
        <w:jc w:val="both"/>
        <w:rPr>
          <w:rFonts w:ascii="Times New Roman" w:hAnsi="Times New Roman" w:cs="Times New Roman"/>
          <w:sz w:val="20"/>
          <w:szCs w:val="20"/>
        </w:rPr>
      </w:pPr>
      <w:r w:rsidRPr="00126E99">
        <w:rPr>
          <w:rFonts w:ascii="Times New Roman" w:hAnsi="Times New Roman" w:cs="Times New Roman"/>
          <w:sz w:val="20"/>
          <w:szCs w:val="20"/>
        </w:rPr>
        <w:t xml:space="preserve">In India, reinforced concrete structures </w:t>
      </w:r>
      <w:r w:rsidRPr="00126E99">
        <w:rPr>
          <w:rFonts w:ascii="Times New Roman" w:hAnsi="Times New Roman" w:cs="Times New Roman"/>
          <w:iCs/>
          <w:sz w:val="20"/>
          <w:szCs w:val="20"/>
        </w:rPr>
        <w:t xml:space="preserve">are </w:t>
      </w:r>
      <w:r w:rsidRPr="00126E99">
        <w:rPr>
          <w:rFonts w:ascii="Times New Roman" w:hAnsi="Times New Roman" w:cs="Times New Roman"/>
          <w:sz w:val="20"/>
          <w:szCs w:val="20"/>
        </w:rPr>
        <w:t xml:space="preserve">designed </w:t>
      </w:r>
      <w:r w:rsidR="001D5CC1" w:rsidRPr="00126E99">
        <w:rPr>
          <w:rFonts w:ascii="Times New Roman" w:hAnsi="Times New Roman" w:cs="Times New Roman"/>
          <w:sz w:val="20"/>
          <w:szCs w:val="20"/>
        </w:rPr>
        <w:t xml:space="preserve">Reinforced concrete overhead water tanks are widely used to provide the safe drinking water. Most water supply systems in developing countries, such as India, where urbanizing is increasing day by day rely on overhead storage tanks and hence there is need to construct more number of water tanks. The use of limit state method of design has been adopted in the revised code IS 3370: 2009 and provision for checking the crack width is also included in this code. This study is carried out to analyze the cost of overhead water tanks of a fixed capacity, having different heights and diameters so as to determine the most economical </w:t>
      </w:r>
      <w:r w:rsidR="006C2A43" w:rsidRPr="00126E99">
        <w:rPr>
          <w:rFonts w:ascii="Times New Roman" w:hAnsi="Times New Roman" w:cs="Times New Roman"/>
          <w:sz w:val="20"/>
          <w:szCs w:val="20"/>
        </w:rPr>
        <w:t>height to diameter (</w:t>
      </w:r>
      <w:r w:rsidR="001D5CC1" w:rsidRPr="00126E99">
        <w:rPr>
          <w:rFonts w:ascii="Times New Roman" w:hAnsi="Times New Roman" w:cs="Times New Roman"/>
          <w:sz w:val="20"/>
          <w:szCs w:val="20"/>
        </w:rPr>
        <w:t>H/D</w:t>
      </w:r>
      <w:r w:rsidR="006C2A43" w:rsidRPr="00126E99">
        <w:rPr>
          <w:rFonts w:ascii="Times New Roman" w:hAnsi="Times New Roman" w:cs="Times New Roman"/>
          <w:sz w:val="20"/>
          <w:szCs w:val="20"/>
        </w:rPr>
        <w:t>)</w:t>
      </w:r>
      <w:r w:rsidR="001D5CC1" w:rsidRPr="00126E99">
        <w:rPr>
          <w:rFonts w:ascii="Times New Roman" w:hAnsi="Times New Roman" w:cs="Times New Roman"/>
          <w:sz w:val="20"/>
          <w:szCs w:val="20"/>
        </w:rPr>
        <w:t xml:space="preserve"> ratio to be adopted in the design of the tank. This will help the designers in making the </w:t>
      </w:r>
      <w:r w:rsidR="006C2A43" w:rsidRPr="00126E99">
        <w:rPr>
          <w:rFonts w:ascii="Times New Roman" w:hAnsi="Times New Roman" w:cs="Times New Roman"/>
          <w:sz w:val="20"/>
          <w:szCs w:val="20"/>
        </w:rPr>
        <w:t xml:space="preserve">economical and efficient </w:t>
      </w:r>
      <w:r w:rsidR="001D5CC1" w:rsidRPr="00126E99">
        <w:rPr>
          <w:rFonts w:ascii="Times New Roman" w:hAnsi="Times New Roman" w:cs="Times New Roman"/>
          <w:sz w:val="20"/>
          <w:szCs w:val="20"/>
        </w:rPr>
        <w:t xml:space="preserve">choice for their design. </w:t>
      </w:r>
      <w:r w:rsidR="006C2A43" w:rsidRPr="00126E99">
        <w:rPr>
          <w:rFonts w:ascii="Times New Roman" w:hAnsi="Times New Roman" w:cs="Times New Roman"/>
          <w:sz w:val="20"/>
          <w:szCs w:val="20"/>
        </w:rPr>
        <w:t>In this paper,</w:t>
      </w:r>
      <w:r w:rsidR="001D5CC1" w:rsidRPr="00126E99">
        <w:rPr>
          <w:rFonts w:ascii="Times New Roman" w:hAnsi="Times New Roman" w:cs="Times New Roman"/>
          <w:sz w:val="20"/>
          <w:szCs w:val="20"/>
        </w:rPr>
        <w:t xml:space="preserve"> cylindrical water tanks of fixed capacity (350 kL) with top and bottom dome pattern</w:t>
      </w:r>
      <w:r w:rsidR="006C2A43" w:rsidRPr="00126E99">
        <w:rPr>
          <w:rFonts w:ascii="Times New Roman" w:hAnsi="Times New Roman" w:cs="Times New Roman"/>
          <w:sz w:val="20"/>
          <w:szCs w:val="20"/>
        </w:rPr>
        <w:t>,</w:t>
      </w:r>
      <w:r w:rsidR="001D5CC1" w:rsidRPr="00126E99">
        <w:rPr>
          <w:rFonts w:ascii="Times New Roman" w:hAnsi="Times New Roman" w:cs="Times New Roman"/>
          <w:sz w:val="20"/>
          <w:szCs w:val="20"/>
        </w:rPr>
        <w:t xml:space="preserve"> were designed by varying H/D ratio from 0.50 to 0.75 in STAAD.Pro. Six separate models were prepared in STAAD.Pro to check the behavior of the water tanks under the action of applied forces and the </w:t>
      </w:r>
      <w:r w:rsidR="006C2A43" w:rsidRPr="00126E99">
        <w:rPr>
          <w:rFonts w:ascii="Times New Roman" w:hAnsi="Times New Roman" w:cs="Times New Roman"/>
          <w:sz w:val="20"/>
          <w:szCs w:val="20"/>
        </w:rPr>
        <w:t>total quantity</w:t>
      </w:r>
      <w:r w:rsidR="001D5CC1" w:rsidRPr="00126E99">
        <w:rPr>
          <w:rFonts w:ascii="Times New Roman" w:hAnsi="Times New Roman" w:cs="Times New Roman"/>
          <w:sz w:val="20"/>
          <w:szCs w:val="20"/>
        </w:rPr>
        <w:t xml:space="preserve"> of concrete and steel used for these models was noted down to give a preliminary idea about the overall cost of the </w:t>
      </w:r>
      <w:r w:rsidR="006C2A43" w:rsidRPr="00126E99">
        <w:rPr>
          <w:rFonts w:ascii="Times New Roman" w:hAnsi="Times New Roman" w:cs="Times New Roman"/>
          <w:sz w:val="20"/>
          <w:szCs w:val="20"/>
        </w:rPr>
        <w:t>materials</w:t>
      </w:r>
      <w:r w:rsidR="001D5CC1" w:rsidRPr="00126E99">
        <w:rPr>
          <w:rFonts w:ascii="Times New Roman" w:hAnsi="Times New Roman" w:cs="Times New Roman"/>
          <w:sz w:val="20"/>
          <w:szCs w:val="20"/>
        </w:rPr>
        <w:t xml:space="preserve">. Thus obtained results are compared to the existing design data for a tank of same capacity and conclusions </w:t>
      </w:r>
      <w:r w:rsidR="006C2A43" w:rsidRPr="00126E99">
        <w:rPr>
          <w:rFonts w:ascii="Times New Roman" w:hAnsi="Times New Roman" w:cs="Times New Roman"/>
          <w:sz w:val="20"/>
          <w:szCs w:val="20"/>
        </w:rPr>
        <w:t>we</w:t>
      </w:r>
      <w:r w:rsidR="001D5CC1" w:rsidRPr="00126E99">
        <w:rPr>
          <w:rFonts w:ascii="Times New Roman" w:hAnsi="Times New Roman" w:cs="Times New Roman"/>
          <w:sz w:val="20"/>
          <w:szCs w:val="20"/>
        </w:rPr>
        <w:t xml:space="preserve">re drawn. The first model was given H/D = 0.50 and the successive models had H/D ratio with an increment of 0.05. This is shown </w:t>
      </w:r>
      <w:r w:rsidR="006C2A43" w:rsidRPr="00126E99">
        <w:rPr>
          <w:rFonts w:ascii="Times New Roman" w:hAnsi="Times New Roman" w:cs="Times New Roman"/>
          <w:sz w:val="20"/>
          <w:szCs w:val="20"/>
        </w:rPr>
        <w:t>ahead</w:t>
      </w:r>
      <w:r w:rsidR="001D5CC1" w:rsidRPr="00126E99">
        <w:rPr>
          <w:rFonts w:ascii="Times New Roman" w:hAnsi="Times New Roman" w:cs="Times New Roman"/>
          <w:sz w:val="20"/>
          <w:szCs w:val="20"/>
        </w:rPr>
        <w:t xml:space="preserve"> in Table 1. </w:t>
      </w:r>
      <w:r w:rsidR="006C2A43" w:rsidRPr="00126E99">
        <w:rPr>
          <w:rFonts w:ascii="Times New Roman" w:hAnsi="Times New Roman" w:cs="Times New Roman"/>
          <w:sz w:val="20"/>
          <w:szCs w:val="20"/>
        </w:rPr>
        <w:t>A case study</w:t>
      </w:r>
      <w:r w:rsidR="001D5CC1" w:rsidRPr="00126E99">
        <w:rPr>
          <w:rFonts w:ascii="Times New Roman" w:hAnsi="Times New Roman" w:cs="Times New Roman"/>
          <w:sz w:val="20"/>
          <w:szCs w:val="20"/>
        </w:rPr>
        <w:t xml:space="preserve"> </w:t>
      </w:r>
      <w:r w:rsidR="006C2A43" w:rsidRPr="00126E99">
        <w:rPr>
          <w:rFonts w:ascii="Times New Roman" w:hAnsi="Times New Roman" w:cs="Times New Roman"/>
          <w:sz w:val="20"/>
          <w:szCs w:val="20"/>
        </w:rPr>
        <w:t>wa</w:t>
      </w:r>
      <w:r w:rsidR="001D5CC1" w:rsidRPr="00126E99">
        <w:rPr>
          <w:rFonts w:ascii="Times New Roman" w:hAnsi="Times New Roman" w:cs="Times New Roman"/>
          <w:sz w:val="20"/>
          <w:szCs w:val="20"/>
        </w:rPr>
        <w:t xml:space="preserve">s </w:t>
      </w:r>
      <w:r w:rsidR="006C2A43" w:rsidRPr="00126E99">
        <w:rPr>
          <w:rFonts w:ascii="Times New Roman" w:hAnsi="Times New Roman" w:cs="Times New Roman"/>
          <w:sz w:val="20"/>
          <w:szCs w:val="20"/>
        </w:rPr>
        <w:t>done by</w:t>
      </w:r>
      <w:r w:rsidR="001D5CC1" w:rsidRPr="00126E99">
        <w:rPr>
          <w:rFonts w:ascii="Times New Roman" w:hAnsi="Times New Roman" w:cs="Times New Roman"/>
          <w:sz w:val="20"/>
          <w:szCs w:val="20"/>
        </w:rPr>
        <w:t xml:space="preserve"> compar</w:t>
      </w:r>
      <w:r w:rsidR="006C2A43" w:rsidRPr="00126E99">
        <w:rPr>
          <w:rFonts w:ascii="Times New Roman" w:hAnsi="Times New Roman" w:cs="Times New Roman"/>
          <w:sz w:val="20"/>
          <w:szCs w:val="20"/>
        </w:rPr>
        <w:t>ing</w:t>
      </w:r>
      <w:r w:rsidR="001D5CC1" w:rsidRPr="00126E99">
        <w:rPr>
          <w:rFonts w:ascii="Times New Roman" w:hAnsi="Times New Roman" w:cs="Times New Roman"/>
          <w:sz w:val="20"/>
          <w:szCs w:val="20"/>
        </w:rPr>
        <w:t xml:space="preserve"> </w:t>
      </w:r>
      <w:r w:rsidR="006C2A43" w:rsidRPr="00126E99">
        <w:rPr>
          <w:rFonts w:ascii="Times New Roman" w:hAnsi="Times New Roman" w:cs="Times New Roman"/>
          <w:sz w:val="20"/>
          <w:szCs w:val="20"/>
        </w:rPr>
        <w:t>the model</w:t>
      </w:r>
      <w:r w:rsidR="001D5CC1" w:rsidRPr="00126E99">
        <w:rPr>
          <w:rFonts w:ascii="Times New Roman" w:hAnsi="Times New Roman" w:cs="Times New Roman"/>
          <w:sz w:val="20"/>
          <w:szCs w:val="20"/>
        </w:rPr>
        <w:t xml:space="preserve"> design</w:t>
      </w:r>
      <w:r w:rsidR="006C2A43" w:rsidRPr="00126E99">
        <w:rPr>
          <w:rFonts w:ascii="Times New Roman" w:hAnsi="Times New Roman" w:cs="Times New Roman"/>
          <w:sz w:val="20"/>
          <w:szCs w:val="20"/>
        </w:rPr>
        <w:t>s</w:t>
      </w:r>
      <w:r w:rsidR="001D5CC1" w:rsidRPr="00126E99">
        <w:rPr>
          <w:rFonts w:ascii="Times New Roman" w:hAnsi="Times New Roman" w:cs="Times New Roman"/>
          <w:sz w:val="20"/>
          <w:szCs w:val="20"/>
        </w:rPr>
        <w:t xml:space="preserve"> to the one used for design of a</w:t>
      </w:r>
      <w:r w:rsidR="006C2A43" w:rsidRPr="00126E99">
        <w:rPr>
          <w:rFonts w:ascii="Times New Roman" w:hAnsi="Times New Roman" w:cs="Times New Roman"/>
          <w:sz w:val="20"/>
          <w:szCs w:val="20"/>
        </w:rPr>
        <w:t>n already constructred</w:t>
      </w:r>
      <w:r w:rsidR="001D5CC1" w:rsidRPr="00126E99">
        <w:rPr>
          <w:rFonts w:ascii="Times New Roman" w:hAnsi="Times New Roman" w:cs="Times New Roman"/>
          <w:sz w:val="20"/>
          <w:szCs w:val="20"/>
        </w:rPr>
        <w:t xml:space="preserve"> 350kL tank at IGNOU, Telibagh, </w:t>
      </w:r>
      <w:r w:rsidR="0048507A" w:rsidRPr="00126E99">
        <w:rPr>
          <w:rFonts w:ascii="Times New Roman" w:hAnsi="Times New Roman" w:cs="Times New Roman"/>
          <w:sz w:val="20"/>
          <w:szCs w:val="20"/>
        </w:rPr>
        <w:t>Lucknow</w:t>
      </w:r>
      <w:r w:rsidR="001D5CC1" w:rsidRPr="00126E99">
        <w:rPr>
          <w:rFonts w:ascii="Times New Roman" w:hAnsi="Times New Roman" w:cs="Times New Roman"/>
          <w:sz w:val="20"/>
          <w:szCs w:val="20"/>
        </w:rPr>
        <w:t xml:space="preserve"> and try to figure out the optimum values of H, D and H/D for which the tank will be most efficient and economical.</w:t>
      </w:r>
    </w:p>
    <w:p w:rsidR="0048507A" w:rsidRDefault="0048507A" w:rsidP="0048507A">
      <w:pPr>
        <w:spacing w:before="240" w:after="0"/>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extent cx="5868619" cy="3448050"/>
            <wp:effectExtent l="19050" t="0" r="0" b="0"/>
            <wp:docPr id="5" name="Picture 4" descr="IGNOU - Google Maps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NOU - Google Maps_001.jpg"/>
                    <pic:cNvPicPr/>
                  </pic:nvPicPr>
                  <pic:blipFill>
                    <a:blip r:embed="rId7" cstate="print"/>
                    <a:stretch>
                      <a:fillRect/>
                    </a:stretch>
                  </pic:blipFill>
                  <pic:spPr>
                    <a:xfrm>
                      <a:off x="0" y="0"/>
                      <a:ext cx="5869960" cy="3448838"/>
                    </a:xfrm>
                    <a:prstGeom prst="rect">
                      <a:avLst/>
                    </a:prstGeom>
                  </pic:spPr>
                </pic:pic>
              </a:graphicData>
            </a:graphic>
          </wp:inline>
        </w:drawing>
      </w:r>
    </w:p>
    <w:p w:rsidR="00126E99" w:rsidRDefault="00126E99" w:rsidP="0048507A">
      <w:pPr>
        <w:jc w:val="center"/>
        <w:rPr>
          <w:rFonts w:ascii="Times New Roman" w:hAnsi="Times New Roman" w:cs="Times New Roman"/>
          <w:sz w:val="24"/>
          <w:szCs w:val="24"/>
        </w:rPr>
      </w:pPr>
    </w:p>
    <w:p w:rsidR="0048507A" w:rsidRPr="00126E99" w:rsidRDefault="0048507A" w:rsidP="0048507A">
      <w:pPr>
        <w:jc w:val="center"/>
        <w:rPr>
          <w:rFonts w:ascii="Times New Roman" w:hAnsi="Times New Roman"/>
          <w:sz w:val="20"/>
          <w:szCs w:val="20"/>
        </w:rPr>
      </w:pPr>
      <w:r w:rsidRPr="00126E99">
        <w:rPr>
          <w:rFonts w:ascii="Times New Roman" w:hAnsi="Times New Roman" w:cs="Times New Roman"/>
          <w:sz w:val="20"/>
          <w:szCs w:val="20"/>
        </w:rPr>
        <w:t xml:space="preserve">Fig. 1 </w:t>
      </w:r>
      <w:r w:rsidRPr="00126E99">
        <w:rPr>
          <w:rFonts w:ascii="Times New Roman" w:hAnsi="Times New Roman"/>
          <w:sz w:val="20"/>
          <w:szCs w:val="20"/>
        </w:rPr>
        <w:t xml:space="preserve">– </w:t>
      </w:r>
      <w:r w:rsidR="006C2A43" w:rsidRPr="00126E99">
        <w:rPr>
          <w:rFonts w:ascii="Times New Roman" w:hAnsi="Times New Roman"/>
          <w:sz w:val="20"/>
          <w:szCs w:val="20"/>
        </w:rPr>
        <w:t>Constructed w</w:t>
      </w:r>
      <w:r w:rsidRPr="00126E99">
        <w:rPr>
          <w:rFonts w:ascii="Times New Roman" w:hAnsi="Times New Roman"/>
          <w:sz w:val="20"/>
          <w:szCs w:val="20"/>
        </w:rPr>
        <w:t>ater</w:t>
      </w:r>
      <w:r w:rsidR="006C2A43" w:rsidRPr="00126E99">
        <w:rPr>
          <w:rFonts w:ascii="Times New Roman" w:hAnsi="Times New Roman"/>
          <w:sz w:val="20"/>
          <w:szCs w:val="20"/>
        </w:rPr>
        <w:t xml:space="preserve"> </w:t>
      </w:r>
      <w:r w:rsidRPr="00126E99">
        <w:rPr>
          <w:rFonts w:ascii="Times New Roman" w:hAnsi="Times New Roman"/>
          <w:sz w:val="20"/>
          <w:szCs w:val="20"/>
        </w:rPr>
        <w:t>tank at IGNOU, Lucknow (Courtesy - Google maps)</w:t>
      </w:r>
    </w:p>
    <w:p w:rsidR="006C2A43" w:rsidRPr="00126E99" w:rsidRDefault="006C2A43" w:rsidP="00126E99">
      <w:pPr>
        <w:jc w:val="both"/>
        <w:rPr>
          <w:rFonts w:ascii="Times New Roman" w:hAnsi="Times New Roman"/>
          <w:sz w:val="20"/>
          <w:szCs w:val="20"/>
        </w:rPr>
      </w:pPr>
      <w:r w:rsidRPr="00126E99">
        <w:rPr>
          <w:rFonts w:ascii="Times New Roman" w:hAnsi="Times New Roman" w:cs="Times New Roman"/>
          <w:sz w:val="20"/>
          <w:szCs w:val="20"/>
        </w:rPr>
        <w:t xml:space="preserve">Initially </w:t>
      </w:r>
      <w:r w:rsidR="001D5CC1" w:rsidRPr="00126E99">
        <w:rPr>
          <w:rFonts w:ascii="Times New Roman" w:hAnsi="Times New Roman" w:cs="Times New Roman"/>
          <w:sz w:val="20"/>
          <w:szCs w:val="20"/>
        </w:rPr>
        <w:t>the design of RCC Overhead Tank at IGNOU, Lucknow</w:t>
      </w:r>
      <w:r w:rsidRPr="00126E99">
        <w:rPr>
          <w:rFonts w:ascii="Times New Roman" w:hAnsi="Times New Roman" w:cs="Times New Roman"/>
          <w:sz w:val="20"/>
          <w:szCs w:val="20"/>
        </w:rPr>
        <w:t xml:space="preserve"> was studied in detail</w:t>
      </w:r>
      <w:r w:rsidR="001D5CC1" w:rsidRPr="00126E99">
        <w:rPr>
          <w:rFonts w:ascii="Times New Roman" w:hAnsi="Times New Roman" w:cs="Times New Roman"/>
          <w:sz w:val="20"/>
          <w:szCs w:val="20"/>
        </w:rPr>
        <w:t xml:space="preserve">. </w:t>
      </w:r>
      <w:r w:rsidR="00AA61F2" w:rsidRPr="00126E99">
        <w:rPr>
          <w:rFonts w:ascii="Times New Roman" w:hAnsi="Times New Roman" w:cs="Times New Roman"/>
          <w:sz w:val="20"/>
          <w:szCs w:val="20"/>
        </w:rPr>
        <w:t xml:space="preserve">An intze tank was constructed using column and brace type staging on campus using M25 grade of concrete and FE415 grade of steel in 2014. The height of the staging was set at 25m. The tank was designed </w:t>
      </w:r>
      <w:r w:rsidR="00DF2B9E" w:rsidRPr="00126E99">
        <w:rPr>
          <w:rFonts w:ascii="Times New Roman" w:hAnsi="Times New Roman" w:cs="Times New Roman"/>
          <w:sz w:val="20"/>
          <w:szCs w:val="20"/>
        </w:rPr>
        <w:t>for</w:t>
      </w:r>
      <w:r w:rsidR="00AA61F2" w:rsidRPr="00126E99">
        <w:rPr>
          <w:rFonts w:ascii="Times New Roman" w:hAnsi="Times New Roman" w:cs="Times New Roman"/>
          <w:sz w:val="20"/>
          <w:szCs w:val="20"/>
        </w:rPr>
        <w:t xml:space="preserve"> Zone </w:t>
      </w:r>
      <w:r w:rsidRPr="00126E99">
        <w:rPr>
          <w:rFonts w:ascii="Times New Roman" w:hAnsi="Times New Roman" w:cs="Times New Roman"/>
          <w:sz w:val="20"/>
          <w:szCs w:val="20"/>
        </w:rPr>
        <w:t>III</w:t>
      </w:r>
      <w:r w:rsidR="00AA61F2" w:rsidRPr="00126E99">
        <w:rPr>
          <w:rFonts w:ascii="Times New Roman" w:hAnsi="Times New Roman" w:cs="Times New Roman"/>
          <w:sz w:val="20"/>
          <w:szCs w:val="20"/>
        </w:rPr>
        <w:t xml:space="preserve"> seismicity</w:t>
      </w:r>
      <w:r w:rsidRPr="00126E99">
        <w:rPr>
          <w:rFonts w:ascii="Times New Roman" w:hAnsi="Times New Roman" w:cs="Times New Roman"/>
          <w:sz w:val="20"/>
          <w:szCs w:val="20"/>
        </w:rPr>
        <w:t xml:space="preserve"> (moderate risk)</w:t>
      </w:r>
      <w:r w:rsidR="00AA61F2" w:rsidRPr="00126E99">
        <w:rPr>
          <w:rFonts w:ascii="Times New Roman" w:hAnsi="Times New Roman" w:cs="Times New Roman"/>
          <w:sz w:val="20"/>
          <w:szCs w:val="20"/>
        </w:rPr>
        <w:t xml:space="preserve"> as per IS:1893(Part-1)-2002 and basic wind pressure o</w:t>
      </w:r>
      <w:r w:rsidRPr="00126E99">
        <w:rPr>
          <w:rFonts w:ascii="Times New Roman" w:hAnsi="Times New Roman" w:cs="Times New Roman"/>
          <w:sz w:val="20"/>
          <w:szCs w:val="20"/>
        </w:rPr>
        <w:t>f</w:t>
      </w:r>
      <w:r w:rsidR="00AA61F2" w:rsidRPr="00126E99">
        <w:rPr>
          <w:rFonts w:ascii="Times New Roman" w:hAnsi="Times New Roman" w:cs="Times New Roman"/>
          <w:sz w:val="20"/>
          <w:szCs w:val="20"/>
        </w:rPr>
        <w:t xml:space="preserve"> 1.5 kN/m</w:t>
      </w:r>
      <w:r w:rsidR="00AA61F2" w:rsidRPr="00126E99">
        <w:rPr>
          <w:rFonts w:ascii="Times New Roman" w:hAnsi="Times New Roman" w:cs="Times New Roman"/>
          <w:sz w:val="20"/>
          <w:szCs w:val="20"/>
          <w:vertAlign w:val="superscript"/>
        </w:rPr>
        <w:t>2</w:t>
      </w:r>
      <w:r w:rsidR="00AA61F2" w:rsidRPr="00126E99">
        <w:rPr>
          <w:rFonts w:ascii="Times New Roman" w:hAnsi="Times New Roman" w:cs="Times New Roman"/>
          <w:sz w:val="20"/>
          <w:szCs w:val="20"/>
        </w:rPr>
        <w:t xml:space="preserve">. The tank was originally designed </w:t>
      </w:r>
      <w:r w:rsidR="00DF2B9E" w:rsidRPr="00126E99">
        <w:rPr>
          <w:rFonts w:ascii="Times New Roman" w:hAnsi="Times New Roman" w:cs="Times New Roman"/>
          <w:sz w:val="20"/>
          <w:szCs w:val="20"/>
        </w:rPr>
        <w:t>f</w:t>
      </w:r>
      <w:r w:rsidR="00AA61F2" w:rsidRPr="00126E99">
        <w:rPr>
          <w:rFonts w:ascii="Times New Roman" w:hAnsi="Times New Roman" w:cs="Times New Roman"/>
          <w:sz w:val="20"/>
          <w:szCs w:val="20"/>
        </w:rPr>
        <w:t>or a capacity of 2000 students with a demand of 45 liters per capita per day. The tank had a design period o</w:t>
      </w:r>
      <w:r w:rsidRPr="00126E99">
        <w:rPr>
          <w:rFonts w:ascii="Times New Roman" w:hAnsi="Times New Roman" w:cs="Times New Roman"/>
          <w:sz w:val="20"/>
          <w:szCs w:val="20"/>
        </w:rPr>
        <w:t>f</w:t>
      </w:r>
      <w:r w:rsidR="00AA61F2" w:rsidRPr="00126E99">
        <w:rPr>
          <w:rFonts w:ascii="Times New Roman" w:hAnsi="Times New Roman" w:cs="Times New Roman"/>
          <w:sz w:val="20"/>
          <w:szCs w:val="20"/>
        </w:rPr>
        <w:t xml:space="preserve"> 30 years. </w:t>
      </w:r>
      <w:r w:rsidRPr="00126E99">
        <w:rPr>
          <w:rFonts w:ascii="Times New Roman" w:hAnsi="Times New Roman"/>
          <w:sz w:val="20"/>
          <w:szCs w:val="20"/>
        </w:rPr>
        <w:t xml:space="preserve">Soil at site was considered soft clay. </w:t>
      </w:r>
    </w:p>
    <w:p w:rsidR="001D5CC1" w:rsidRPr="00126E99" w:rsidRDefault="001D5CC1" w:rsidP="00126E99">
      <w:pPr>
        <w:jc w:val="both"/>
        <w:rPr>
          <w:rFonts w:ascii="Times New Roman" w:hAnsi="Times New Roman" w:cs="Times New Roman"/>
          <w:sz w:val="20"/>
          <w:szCs w:val="20"/>
        </w:rPr>
      </w:pPr>
      <w:r w:rsidRPr="00126E99">
        <w:rPr>
          <w:rFonts w:ascii="Times New Roman" w:hAnsi="Times New Roman" w:cs="Times New Roman"/>
          <w:sz w:val="20"/>
          <w:szCs w:val="20"/>
        </w:rPr>
        <w:t xml:space="preserve">To optimize the results and check the accuracy of design, </w:t>
      </w:r>
      <w:r w:rsidR="00AA61F2" w:rsidRPr="00126E99">
        <w:rPr>
          <w:rFonts w:ascii="Times New Roman" w:hAnsi="Times New Roman" w:cs="Times New Roman"/>
          <w:sz w:val="20"/>
          <w:szCs w:val="20"/>
        </w:rPr>
        <w:t>iterative t</w:t>
      </w:r>
      <w:r w:rsidRPr="00126E99">
        <w:rPr>
          <w:rFonts w:ascii="Times New Roman" w:hAnsi="Times New Roman" w:cs="Times New Roman"/>
          <w:sz w:val="20"/>
          <w:szCs w:val="20"/>
        </w:rPr>
        <w:t xml:space="preserve">ank design </w:t>
      </w:r>
      <w:r w:rsidR="00AA61F2" w:rsidRPr="00126E99">
        <w:rPr>
          <w:rFonts w:ascii="Times New Roman" w:hAnsi="Times New Roman" w:cs="Times New Roman"/>
          <w:sz w:val="20"/>
          <w:szCs w:val="20"/>
        </w:rPr>
        <w:t>wa</w:t>
      </w:r>
      <w:r w:rsidRPr="00126E99">
        <w:rPr>
          <w:rFonts w:ascii="Times New Roman" w:hAnsi="Times New Roman" w:cs="Times New Roman"/>
          <w:sz w:val="20"/>
          <w:szCs w:val="20"/>
        </w:rPr>
        <w:t xml:space="preserve">s </w:t>
      </w:r>
      <w:r w:rsidR="00AA61F2" w:rsidRPr="00126E99">
        <w:rPr>
          <w:rFonts w:ascii="Times New Roman" w:hAnsi="Times New Roman" w:cs="Times New Roman"/>
          <w:sz w:val="20"/>
          <w:szCs w:val="20"/>
        </w:rPr>
        <w:t>carried out</w:t>
      </w:r>
      <w:r w:rsidRPr="00126E99">
        <w:rPr>
          <w:rFonts w:ascii="Times New Roman" w:hAnsi="Times New Roman" w:cs="Times New Roman"/>
          <w:sz w:val="20"/>
          <w:szCs w:val="20"/>
        </w:rPr>
        <w:t xml:space="preserve"> with different H/D ratio varying from 0.50 to 0.75. Further analysis </w:t>
      </w:r>
      <w:r w:rsidR="00AA61F2" w:rsidRPr="00126E99">
        <w:rPr>
          <w:rFonts w:ascii="Times New Roman" w:hAnsi="Times New Roman" w:cs="Times New Roman"/>
          <w:sz w:val="20"/>
          <w:szCs w:val="20"/>
        </w:rPr>
        <w:t>was then</w:t>
      </w:r>
      <w:r w:rsidRPr="00126E99">
        <w:rPr>
          <w:rFonts w:ascii="Times New Roman" w:hAnsi="Times New Roman" w:cs="Times New Roman"/>
          <w:sz w:val="20"/>
          <w:szCs w:val="20"/>
        </w:rPr>
        <w:t xml:space="preserve"> done to calculate the cost effectiveness of the structures. </w:t>
      </w:r>
      <w:r w:rsidR="00366993" w:rsidRPr="00126E99">
        <w:rPr>
          <w:rFonts w:ascii="Times New Roman" w:hAnsi="Times New Roman" w:cs="Times New Roman"/>
          <w:sz w:val="20"/>
          <w:szCs w:val="20"/>
        </w:rPr>
        <w:t>C</w:t>
      </w:r>
      <w:r w:rsidRPr="00126E99">
        <w:rPr>
          <w:rFonts w:ascii="Times New Roman" w:hAnsi="Times New Roman" w:cs="Times New Roman"/>
          <w:sz w:val="20"/>
          <w:szCs w:val="20"/>
        </w:rPr>
        <w:t>ircular water tank with top and bottom dome pattern</w:t>
      </w:r>
      <w:r w:rsidR="00366993" w:rsidRPr="00126E99">
        <w:rPr>
          <w:rFonts w:ascii="Times New Roman" w:hAnsi="Times New Roman" w:cs="Times New Roman"/>
          <w:sz w:val="20"/>
          <w:szCs w:val="20"/>
        </w:rPr>
        <w:t xml:space="preserve"> was adopted</w:t>
      </w:r>
      <w:r w:rsidR="00AA61F2" w:rsidRPr="00126E99">
        <w:rPr>
          <w:rFonts w:ascii="Times New Roman" w:hAnsi="Times New Roman" w:cs="Times New Roman"/>
          <w:sz w:val="20"/>
          <w:szCs w:val="20"/>
        </w:rPr>
        <w:t xml:space="preserve"> as initially proposed at site</w:t>
      </w:r>
      <w:r w:rsidRPr="00126E99">
        <w:rPr>
          <w:rFonts w:ascii="Times New Roman" w:hAnsi="Times New Roman" w:cs="Times New Roman"/>
          <w:sz w:val="20"/>
          <w:szCs w:val="20"/>
        </w:rPr>
        <w:t>.</w:t>
      </w:r>
    </w:p>
    <w:p w:rsidR="002C507B" w:rsidRDefault="006C2A43" w:rsidP="006C2A43">
      <w:pPr>
        <w:spacing w:after="0"/>
        <w:jc w:val="center"/>
        <w:rPr>
          <w:rFonts w:ascii="Times New Roman" w:hAnsi="Times New Roman" w:cs="Times New Roman"/>
          <w:b/>
          <w:bCs/>
          <w:sz w:val="24"/>
          <w:szCs w:val="24"/>
          <w:u w:val="single"/>
        </w:rPr>
      </w:pPr>
      <w:r w:rsidRPr="006C2A43">
        <w:rPr>
          <w:rFonts w:ascii="Times New Roman" w:hAnsi="Times New Roman" w:cs="Times New Roman"/>
          <w:bCs/>
          <w:noProof/>
          <w:sz w:val="24"/>
          <w:szCs w:val="24"/>
          <w:lang w:val="en-IN" w:eastAsia="en-IN"/>
        </w:rPr>
        <w:lastRenderedPageBreak/>
        <w:drawing>
          <wp:inline distT="0" distB="0" distL="0" distR="0">
            <wp:extent cx="4362450" cy="3785597"/>
            <wp:effectExtent l="19050" t="0" r="0" b="0"/>
            <wp:docPr id="6" name="irc_mi" descr="http://nidm.gov.in/images/safety_eq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idm.gov.in/images/safety_eq3.jpg"/>
                    <pic:cNvPicPr>
                      <a:picLocks noChangeAspect="1" noChangeArrowheads="1"/>
                    </pic:cNvPicPr>
                  </pic:nvPicPr>
                  <pic:blipFill>
                    <a:blip r:embed="rId8" cstate="print"/>
                    <a:srcRect b="6977"/>
                    <a:stretch>
                      <a:fillRect/>
                    </a:stretch>
                  </pic:blipFill>
                  <pic:spPr bwMode="auto">
                    <a:xfrm>
                      <a:off x="0" y="0"/>
                      <a:ext cx="4380369" cy="3801146"/>
                    </a:xfrm>
                    <a:prstGeom prst="rect">
                      <a:avLst/>
                    </a:prstGeom>
                    <a:noFill/>
                    <a:ln w="9525">
                      <a:noFill/>
                      <a:miter lim="800000"/>
                      <a:headEnd/>
                      <a:tailEnd/>
                    </a:ln>
                  </pic:spPr>
                </pic:pic>
              </a:graphicData>
            </a:graphic>
          </wp:inline>
        </w:drawing>
      </w:r>
    </w:p>
    <w:p w:rsidR="006C2A43" w:rsidRPr="00126E99" w:rsidRDefault="006C2A43" w:rsidP="006C2A43">
      <w:pPr>
        <w:spacing w:after="0"/>
        <w:jc w:val="center"/>
        <w:rPr>
          <w:rFonts w:ascii="Times New Roman" w:hAnsi="Times New Roman" w:cs="Times New Roman"/>
          <w:bCs/>
          <w:sz w:val="20"/>
          <w:szCs w:val="20"/>
        </w:rPr>
      </w:pPr>
      <w:r w:rsidRPr="00126E99">
        <w:rPr>
          <w:rFonts w:ascii="Times New Roman" w:hAnsi="Times New Roman" w:cs="Times New Roman"/>
          <w:bCs/>
          <w:sz w:val="20"/>
          <w:szCs w:val="20"/>
        </w:rPr>
        <w:t>Fig. 2 - Seismic Zoning Map of India as per IS:1893(Part-1)-2002</w:t>
      </w:r>
    </w:p>
    <w:p w:rsidR="006C2A43" w:rsidRDefault="006C2A43" w:rsidP="006C2A43">
      <w:pPr>
        <w:spacing w:after="0"/>
        <w:jc w:val="center"/>
        <w:rPr>
          <w:rFonts w:ascii="Times New Roman" w:hAnsi="Times New Roman" w:cs="Times New Roman"/>
          <w:b/>
          <w:bCs/>
          <w:sz w:val="24"/>
          <w:szCs w:val="24"/>
          <w:u w:val="single"/>
        </w:rPr>
      </w:pPr>
    </w:p>
    <w:p w:rsidR="006C2A43" w:rsidRPr="00534575" w:rsidRDefault="006C2A43" w:rsidP="006C2A43">
      <w:pPr>
        <w:spacing w:after="0"/>
        <w:jc w:val="center"/>
        <w:rPr>
          <w:rFonts w:ascii="Times New Roman" w:hAnsi="Times New Roman" w:cs="Times New Roman"/>
          <w:b/>
          <w:bCs/>
          <w:sz w:val="24"/>
          <w:szCs w:val="24"/>
          <w:u w:val="single"/>
        </w:rPr>
        <w:sectPr w:rsidR="006C2A43" w:rsidRPr="00534575" w:rsidSect="00365C93">
          <w:footerReference w:type="default" r:id="rId9"/>
          <w:pgSz w:w="12240" w:h="15840"/>
          <w:pgMar w:top="1008" w:right="1008" w:bottom="1008" w:left="1008" w:header="720" w:footer="720" w:gutter="0"/>
          <w:cols w:space="720"/>
          <w:docGrid w:linePitch="360"/>
        </w:sectPr>
      </w:pPr>
    </w:p>
    <w:p w:rsidR="00EA587C" w:rsidRPr="00126E99" w:rsidRDefault="003611C5" w:rsidP="00534575">
      <w:pPr>
        <w:pStyle w:val="NoSpacing"/>
        <w:numPr>
          <w:ilvl w:val="0"/>
          <w:numId w:val="21"/>
        </w:numPr>
        <w:spacing w:line="276" w:lineRule="auto"/>
        <w:ind w:left="360" w:hanging="360"/>
        <w:jc w:val="center"/>
        <w:rPr>
          <w:rFonts w:ascii="Times New Roman" w:hAnsi="Times New Roman"/>
          <w:b/>
          <w:sz w:val="20"/>
          <w:szCs w:val="20"/>
        </w:rPr>
      </w:pPr>
      <w:r w:rsidRPr="00126E99">
        <w:rPr>
          <w:rFonts w:ascii="Times New Roman" w:hAnsi="Times New Roman"/>
          <w:b/>
          <w:sz w:val="20"/>
          <w:szCs w:val="20"/>
        </w:rPr>
        <w:lastRenderedPageBreak/>
        <w:t>MODELLING</w:t>
      </w:r>
      <w:r w:rsidR="0066632C" w:rsidRPr="00126E99">
        <w:rPr>
          <w:rFonts w:ascii="Times New Roman" w:hAnsi="Times New Roman"/>
          <w:b/>
          <w:sz w:val="20"/>
          <w:szCs w:val="20"/>
        </w:rPr>
        <w:t xml:space="preserve"> &amp; ANALYSIS</w:t>
      </w:r>
    </w:p>
    <w:p w:rsidR="00EA587C" w:rsidRPr="00534575" w:rsidRDefault="00EA587C" w:rsidP="00534575">
      <w:pPr>
        <w:pStyle w:val="NoSpacing"/>
        <w:spacing w:line="276" w:lineRule="auto"/>
        <w:jc w:val="both"/>
        <w:rPr>
          <w:rFonts w:ascii="Times New Roman" w:hAnsi="Times New Roman"/>
          <w:b/>
          <w:sz w:val="24"/>
          <w:szCs w:val="24"/>
          <w:u w:val="single"/>
        </w:rPr>
      </w:pPr>
    </w:p>
    <w:p w:rsidR="001D5CC1" w:rsidRPr="00126E99" w:rsidRDefault="001D5CC1" w:rsidP="00126E99">
      <w:pPr>
        <w:pStyle w:val="NoSpacing"/>
        <w:spacing w:line="276" w:lineRule="auto"/>
        <w:jc w:val="both"/>
        <w:rPr>
          <w:rFonts w:ascii="Times New Roman" w:hAnsi="Times New Roman"/>
          <w:sz w:val="20"/>
          <w:szCs w:val="20"/>
        </w:rPr>
      </w:pPr>
      <w:r w:rsidRPr="00126E99">
        <w:rPr>
          <w:rFonts w:ascii="Times New Roman" w:hAnsi="Times New Roman"/>
          <w:sz w:val="20"/>
          <w:szCs w:val="20"/>
        </w:rPr>
        <w:t>Six separate models were prepared in STAAD.Pro to check the behavior of the water tanks under the action of applied forces and the value of concrete and steel used for these models was noted down to give a preliminary idea about the overall cost of the structure. Thus obtained results are compared to the existing design data for a tank of same capacity and conclusions are drawn. The first model was given H/D = 0.50 and the successive models had H/D ratio with an increment of 0.05. This can be shown as:</w:t>
      </w:r>
    </w:p>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Table 1 – Model Description</w:t>
      </w:r>
    </w:p>
    <w:tbl>
      <w:tblPr>
        <w:tblStyle w:val="TableGrid"/>
        <w:tblW w:w="5805" w:type="dxa"/>
        <w:jc w:val="center"/>
        <w:tblInd w:w="1008" w:type="dxa"/>
        <w:tblLook w:val="04A0"/>
      </w:tblPr>
      <w:tblGrid>
        <w:gridCol w:w="653"/>
        <w:gridCol w:w="2340"/>
        <w:gridCol w:w="990"/>
        <w:gridCol w:w="945"/>
        <w:gridCol w:w="877"/>
      </w:tblGrid>
      <w:tr w:rsidR="001D5CC1" w:rsidRPr="00126E99" w:rsidTr="00534575">
        <w:trPr>
          <w:jc w:val="center"/>
        </w:trPr>
        <w:tc>
          <w:tcPr>
            <w:tcW w:w="653"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SN</w:t>
            </w:r>
          </w:p>
        </w:tc>
        <w:tc>
          <w:tcPr>
            <w:tcW w:w="234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Model Description</w:t>
            </w:r>
          </w:p>
        </w:tc>
        <w:tc>
          <w:tcPr>
            <w:tcW w:w="99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H</w:t>
            </w:r>
          </w:p>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(in m.)</w:t>
            </w:r>
          </w:p>
        </w:tc>
        <w:tc>
          <w:tcPr>
            <w:tcW w:w="945"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D</w:t>
            </w:r>
          </w:p>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(in m.)</w:t>
            </w:r>
          </w:p>
        </w:tc>
        <w:tc>
          <w:tcPr>
            <w:tcW w:w="877"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H/D</w:t>
            </w:r>
          </w:p>
        </w:tc>
      </w:tr>
      <w:tr w:rsidR="001D5CC1" w:rsidRPr="00126E99" w:rsidTr="00534575">
        <w:trPr>
          <w:jc w:val="center"/>
        </w:trPr>
        <w:tc>
          <w:tcPr>
            <w:tcW w:w="653"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1</w:t>
            </w:r>
          </w:p>
        </w:tc>
        <w:tc>
          <w:tcPr>
            <w:tcW w:w="234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Tank 1</w:t>
            </w:r>
          </w:p>
        </w:tc>
        <w:tc>
          <w:tcPr>
            <w:tcW w:w="99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5.00</w:t>
            </w:r>
          </w:p>
        </w:tc>
        <w:tc>
          <w:tcPr>
            <w:tcW w:w="945"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10.00</w:t>
            </w:r>
          </w:p>
        </w:tc>
        <w:tc>
          <w:tcPr>
            <w:tcW w:w="877"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0.50</w:t>
            </w:r>
          </w:p>
        </w:tc>
      </w:tr>
      <w:tr w:rsidR="001D5CC1" w:rsidRPr="00126E99" w:rsidTr="00534575">
        <w:trPr>
          <w:jc w:val="center"/>
        </w:trPr>
        <w:tc>
          <w:tcPr>
            <w:tcW w:w="653"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2</w:t>
            </w:r>
          </w:p>
        </w:tc>
        <w:tc>
          <w:tcPr>
            <w:tcW w:w="234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Tank 2</w:t>
            </w:r>
          </w:p>
        </w:tc>
        <w:tc>
          <w:tcPr>
            <w:tcW w:w="99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5.39</w:t>
            </w:r>
          </w:p>
        </w:tc>
        <w:tc>
          <w:tcPr>
            <w:tcW w:w="945"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9.80</w:t>
            </w:r>
          </w:p>
        </w:tc>
        <w:tc>
          <w:tcPr>
            <w:tcW w:w="877"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0.55</w:t>
            </w:r>
          </w:p>
        </w:tc>
      </w:tr>
      <w:tr w:rsidR="001D5CC1" w:rsidRPr="00126E99" w:rsidTr="00534575">
        <w:trPr>
          <w:jc w:val="center"/>
        </w:trPr>
        <w:tc>
          <w:tcPr>
            <w:tcW w:w="653"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3</w:t>
            </w:r>
          </w:p>
        </w:tc>
        <w:tc>
          <w:tcPr>
            <w:tcW w:w="234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Tank 3</w:t>
            </w:r>
          </w:p>
        </w:tc>
        <w:tc>
          <w:tcPr>
            <w:tcW w:w="99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5.76</w:t>
            </w:r>
          </w:p>
        </w:tc>
        <w:tc>
          <w:tcPr>
            <w:tcW w:w="945"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9.60</w:t>
            </w:r>
          </w:p>
        </w:tc>
        <w:tc>
          <w:tcPr>
            <w:tcW w:w="877"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0.60</w:t>
            </w:r>
          </w:p>
        </w:tc>
      </w:tr>
      <w:tr w:rsidR="001D5CC1" w:rsidRPr="00126E99" w:rsidTr="00534575">
        <w:trPr>
          <w:jc w:val="center"/>
        </w:trPr>
        <w:tc>
          <w:tcPr>
            <w:tcW w:w="653"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4</w:t>
            </w:r>
          </w:p>
        </w:tc>
        <w:tc>
          <w:tcPr>
            <w:tcW w:w="234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Tank 4</w:t>
            </w:r>
          </w:p>
        </w:tc>
        <w:tc>
          <w:tcPr>
            <w:tcW w:w="99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6.11</w:t>
            </w:r>
          </w:p>
        </w:tc>
        <w:tc>
          <w:tcPr>
            <w:tcW w:w="945"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9.40</w:t>
            </w:r>
          </w:p>
        </w:tc>
        <w:tc>
          <w:tcPr>
            <w:tcW w:w="877"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0.65</w:t>
            </w:r>
          </w:p>
        </w:tc>
      </w:tr>
      <w:tr w:rsidR="001D5CC1" w:rsidRPr="00126E99" w:rsidTr="00534575">
        <w:trPr>
          <w:jc w:val="center"/>
        </w:trPr>
        <w:tc>
          <w:tcPr>
            <w:tcW w:w="653"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5</w:t>
            </w:r>
          </w:p>
        </w:tc>
        <w:tc>
          <w:tcPr>
            <w:tcW w:w="234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Tank 5</w:t>
            </w:r>
          </w:p>
        </w:tc>
        <w:tc>
          <w:tcPr>
            <w:tcW w:w="99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6.44</w:t>
            </w:r>
          </w:p>
        </w:tc>
        <w:tc>
          <w:tcPr>
            <w:tcW w:w="945"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9.20</w:t>
            </w:r>
          </w:p>
        </w:tc>
        <w:tc>
          <w:tcPr>
            <w:tcW w:w="877"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0.70</w:t>
            </w:r>
          </w:p>
        </w:tc>
      </w:tr>
      <w:tr w:rsidR="001D5CC1" w:rsidRPr="00126E99" w:rsidTr="00534575">
        <w:trPr>
          <w:jc w:val="center"/>
        </w:trPr>
        <w:tc>
          <w:tcPr>
            <w:tcW w:w="653"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6</w:t>
            </w:r>
          </w:p>
        </w:tc>
        <w:tc>
          <w:tcPr>
            <w:tcW w:w="234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Tank 6</w:t>
            </w:r>
          </w:p>
        </w:tc>
        <w:tc>
          <w:tcPr>
            <w:tcW w:w="990"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6.75</w:t>
            </w:r>
          </w:p>
        </w:tc>
        <w:tc>
          <w:tcPr>
            <w:tcW w:w="945"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9.00</w:t>
            </w:r>
          </w:p>
        </w:tc>
        <w:tc>
          <w:tcPr>
            <w:tcW w:w="877" w:type="dxa"/>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0.75</w:t>
            </w:r>
          </w:p>
        </w:tc>
      </w:tr>
    </w:tbl>
    <w:p w:rsidR="001D5CC1" w:rsidRPr="00126E99" w:rsidRDefault="001D5CC1" w:rsidP="00126E99">
      <w:pPr>
        <w:pStyle w:val="NoSpacing"/>
        <w:spacing w:line="276" w:lineRule="auto"/>
        <w:jc w:val="both"/>
        <w:rPr>
          <w:rFonts w:ascii="Times New Roman" w:hAnsi="Times New Roman"/>
          <w:sz w:val="20"/>
          <w:szCs w:val="20"/>
        </w:rPr>
      </w:pPr>
      <w:r w:rsidRPr="00126E99">
        <w:rPr>
          <w:rFonts w:ascii="Times New Roman" w:hAnsi="Times New Roman"/>
          <w:sz w:val="20"/>
          <w:szCs w:val="20"/>
        </w:rPr>
        <w:t>The following assumptions were made before the start of the modeling procedure so as to maintain similar conditions for all the three models:</w:t>
      </w:r>
    </w:p>
    <w:p w:rsidR="001D5CC1" w:rsidRPr="00126E99" w:rsidRDefault="001D5CC1" w:rsidP="00126E99">
      <w:pPr>
        <w:pStyle w:val="NoSpacing"/>
        <w:numPr>
          <w:ilvl w:val="0"/>
          <w:numId w:val="31"/>
        </w:numPr>
        <w:spacing w:line="276" w:lineRule="auto"/>
        <w:jc w:val="both"/>
        <w:rPr>
          <w:rFonts w:ascii="Times New Roman" w:hAnsi="Times New Roman"/>
          <w:sz w:val="20"/>
          <w:szCs w:val="20"/>
        </w:rPr>
      </w:pPr>
      <w:r w:rsidRPr="00126E99">
        <w:rPr>
          <w:rFonts w:ascii="Times New Roman" w:hAnsi="Times New Roman"/>
          <w:sz w:val="20"/>
          <w:szCs w:val="20"/>
        </w:rPr>
        <w:t>Only the main block of the tank is considered. The staircases are not considered in the design procedure.</w:t>
      </w:r>
    </w:p>
    <w:p w:rsidR="001D5CC1" w:rsidRPr="00126E99" w:rsidRDefault="001D5CC1" w:rsidP="00126E99">
      <w:pPr>
        <w:pStyle w:val="NoSpacing"/>
        <w:numPr>
          <w:ilvl w:val="0"/>
          <w:numId w:val="31"/>
        </w:numPr>
        <w:spacing w:line="276" w:lineRule="auto"/>
        <w:jc w:val="both"/>
        <w:rPr>
          <w:rFonts w:ascii="Times New Roman" w:hAnsi="Times New Roman"/>
          <w:sz w:val="20"/>
          <w:szCs w:val="20"/>
        </w:rPr>
      </w:pPr>
      <w:r w:rsidRPr="00126E99">
        <w:rPr>
          <w:rFonts w:ascii="Times New Roman" w:hAnsi="Times New Roman"/>
          <w:sz w:val="20"/>
          <w:szCs w:val="20"/>
        </w:rPr>
        <w:t>No interior walls are provided.</w:t>
      </w:r>
    </w:p>
    <w:p w:rsidR="001D5CC1" w:rsidRPr="00126E99" w:rsidRDefault="001D5CC1" w:rsidP="00126E99">
      <w:pPr>
        <w:pStyle w:val="NoSpacing"/>
        <w:numPr>
          <w:ilvl w:val="0"/>
          <w:numId w:val="31"/>
        </w:numPr>
        <w:spacing w:line="276" w:lineRule="auto"/>
        <w:jc w:val="both"/>
        <w:rPr>
          <w:rFonts w:ascii="Times New Roman" w:hAnsi="Times New Roman"/>
          <w:sz w:val="20"/>
          <w:szCs w:val="20"/>
        </w:rPr>
      </w:pPr>
      <w:r w:rsidRPr="00126E99">
        <w:rPr>
          <w:rFonts w:ascii="Times New Roman" w:hAnsi="Times New Roman"/>
          <w:sz w:val="20"/>
          <w:szCs w:val="20"/>
        </w:rPr>
        <w:t>At ground floor, slabs are not provided and the floor is resting directly on the ground.</w:t>
      </w:r>
    </w:p>
    <w:p w:rsidR="001D5CC1" w:rsidRPr="00126E99" w:rsidRDefault="001D5CC1" w:rsidP="00126E99">
      <w:pPr>
        <w:pStyle w:val="NoSpacing"/>
        <w:numPr>
          <w:ilvl w:val="0"/>
          <w:numId w:val="31"/>
        </w:numPr>
        <w:spacing w:line="276" w:lineRule="auto"/>
        <w:jc w:val="both"/>
        <w:rPr>
          <w:rFonts w:ascii="Times New Roman" w:hAnsi="Times New Roman"/>
          <w:sz w:val="20"/>
          <w:szCs w:val="20"/>
        </w:rPr>
      </w:pPr>
      <w:r w:rsidRPr="00126E99">
        <w:rPr>
          <w:rFonts w:ascii="Times New Roman" w:hAnsi="Times New Roman"/>
          <w:sz w:val="20"/>
          <w:szCs w:val="20"/>
        </w:rPr>
        <w:t>The beams are resting centrally on the columns so as to avoid the conditions of eccentricity.</w:t>
      </w:r>
    </w:p>
    <w:p w:rsidR="001D5CC1" w:rsidRPr="00126E99" w:rsidRDefault="001D5CC1" w:rsidP="00126E99">
      <w:pPr>
        <w:pStyle w:val="NoSpacing"/>
        <w:numPr>
          <w:ilvl w:val="0"/>
          <w:numId w:val="31"/>
        </w:numPr>
        <w:spacing w:line="276" w:lineRule="auto"/>
        <w:jc w:val="both"/>
        <w:rPr>
          <w:rFonts w:ascii="Times New Roman" w:hAnsi="Times New Roman"/>
          <w:sz w:val="20"/>
          <w:szCs w:val="20"/>
        </w:rPr>
      </w:pPr>
      <w:r w:rsidRPr="00126E99">
        <w:rPr>
          <w:rFonts w:ascii="Times New Roman" w:hAnsi="Times New Roman"/>
          <w:sz w:val="20"/>
          <w:szCs w:val="20"/>
        </w:rPr>
        <w:t xml:space="preserve">For </w:t>
      </w:r>
      <w:r w:rsidR="00DF2B9E" w:rsidRPr="00126E99">
        <w:rPr>
          <w:rFonts w:ascii="Times New Roman" w:hAnsi="Times New Roman"/>
          <w:sz w:val="20"/>
          <w:szCs w:val="20"/>
        </w:rPr>
        <w:t xml:space="preserve">modeling </w:t>
      </w:r>
      <w:r w:rsidRPr="00126E99">
        <w:rPr>
          <w:rFonts w:ascii="Times New Roman" w:hAnsi="Times New Roman"/>
          <w:sz w:val="20"/>
          <w:szCs w:val="20"/>
        </w:rPr>
        <w:t xml:space="preserve">all structural elements, M25 </w:t>
      </w:r>
      <w:r w:rsidR="00DF2B9E" w:rsidRPr="00126E99">
        <w:rPr>
          <w:rFonts w:ascii="Times New Roman" w:hAnsi="Times New Roman"/>
          <w:sz w:val="20"/>
          <w:szCs w:val="20"/>
        </w:rPr>
        <w:t xml:space="preserve">grade of concrete &amp; </w:t>
      </w:r>
      <w:r w:rsidRPr="00126E99">
        <w:rPr>
          <w:rFonts w:ascii="Times New Roman" w:hAnsi="Times New Roman"/>
          <w:sz w:val="20"/>
          <w:szCs w:val="20"/>
        </w:rPr>
        <w:t>Fe415</w:t>
      </w:r>
      <w:r w:rsidR="00DF2B9E" w:rsidRPr="00126E99">
        <w:rPr>
          <w:rFonts w:ascii="Times New Roman" w:hAnsi="Times New Roman"/>
          <w:sz w:val="20"/>
          <w:szCs w:val="20"/>
        </w:rPr>
        <w:t xml:space="preserve"> tor steel</w:t>
      </w:r>
      <w:r w:rsidRPr="00126E99">
        <w:rPr>
          <w:rFonts w:ascii="Times New Roman" w:hAnsi="Times New Roman"/>
          <w:sz w:val="20"/>
          <w:szCs w:val="20"/>
        </w:rPr>
        <w:t xml:space="preserve"> </w:t>
      </w:r>
      <w:r w:rsidR="00DF2B9E" w:rsidRPr="00126E99">
        <w:rPr>
          <w:rFonts w:ascii="Times New Roman" w:hAnsi="Times New Roman"/>
          <w:sz w:val="20"/>
          <w:szCs w:val="20"/>
        </w:rPr>
        <w:t>we</w:t>
      </w:r>
      <w:r w:rsidRPr="00126E99">
        <w:rPr>
          <w:rFonts w:ascii="Times New Roman" w:hAnsi="Times New Roman"/>
          <w:sz w:val="20"/>
          <w:szCs w:val="20"/>
        </w:rPr>
        <w:t>re used.</w:t>
      </w:r>
    </w:p>
    <w:p w:rsidR="001D5CC1" w:rsidRPr="00126E99" w:rsidRDefault="001D5CC1" w:rsidP="00126E99">
      <w:pPr>
        <w:pStyle w:val="NoSpacing"/>
        <w:numPr>
          <w:ilvl w:val="0"/>
          <w:numId w:val="31"/>
        </w:numPr>
        <w:spacing w:line="276" w:lineRule="auto"/>
        <w:jc w:val="both"/>
        <w:rPr>
          <w:rFonts w:ascii="Times New Roman" w:hAnsi="Times New Roman"/>
          <w:sz w:val="20"/>
          <w:szCs w:val="20"/>
        </w:rPr>
      </w:pPr>
      <w:r w:rsidRPr="00126E99">
        <w:rPr>
          <w:rFonts w:ascii="Times New Roman" w:hAnsi="Times New Roman"/>
          <w:sz w:val="20"/>
          <w:szCs w:val="20"/>
        </w:rPr>
        <w:t>The top and bottom dome of the tank have a diameter of 20 m.</w:t>
      </w:r>
    </w:p>
    <w:p w:rsidR="001D5CC1" w:rsidRPr="00126E99" w:rsidRDefault="001D5CC1" w:rsidP="00126E99">
      <w:pPr>
        <w:pStyle w:val="NoSpacing"/>
        <w:numPr>
          <w:ilvl w:val="0"/>
          <w:numId w:val="31"/>
        </w:numPr>
        <w:spacing w:line="276" w:lineRule="auto"/>
        <w:jc w:val="both"/>
        <w:rPr>
          <w:rFonts w:ascii="Times New Roman" w:hAnsi="Times New Roman"/>
          <w:sz w:val="20"/>
          <w:szCs w:val="20"/>
        </w:rPr>
      </w:pPr>
      <w:r w:rsidRPr="00126E99">
        <w:rPr>
          <w:rFonts w:ascii="Times New Roman" w:hAnsi="Times New Roman"/>
          <w:sz w:val="20"/>
          <w:szCs w:val="20"/>
        </w:rPr>
        <w:t>The footings are not designed. Supports are assigned in the form of fixed supports.</w:t>
      </w:r>
    </w:p>
    <w:p w:rsidR="001D5CC1" w:rsidRPr="00126E99" w:rsidRDefault="001D5CC1" w:rsidP="00126E99">
      <w:pPr>
        <w:pStyle w:val="NoSpacing"/>
        <w:numPr>
          <w:ilvl w:val="0"/>
          <w:numId w:val="31"/>
        </w:numPr>
        <w:spacing w:line="276" w:lineRule="auto"/>
        <w:jc w:val="both"/>
        <w:rPr>
          <w:rFonts w:ascii="Times New Roman" w:hAnsi="Times New Roman"/>
          <w:sz w:val="20"/>
          <w:szCs w:val="20"/>
        </w:rPr>
      </w:pPr>
      <w:r w:rsidRPr="00126E99">
        <w:rPr>
          <w:rFonts w:ascii="Times New Roman" w:hAnsi="Times New Roman"/>
          <w:sz w:val="20"/>
          <w:szCs w:val="20"/>
        </w:rPr>
        <w:t>Sizes of the members are as follows: (All dimensions are in mm)</w:t>
      </w:r>
    </w:p>
    <w:p w:rsidR="00366993" w:rsidRPr="00126E99" w:rsidRDefault="00366993"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lastRenderedPageBreak/>
        <w:t>Table 2 – Member Specification</w:t>
      </w:r>
    </w:p>
    <w:tbl>
      <w:tblPr>
        <w:tblStyle w:val="TableGrid"/>
        <w:tblW w:w="4410" w:type="dxa"/>
        <w:jc w:val="center"/>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60"/>
        <w:gridCol w:w="3150"/>
      </w:tblGrid>
      <w:tr w:rsidR="001D5CC1" w:rsidRPr="00126E99" w:rsidTr="00534575">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1D5CC1" w:rsidRPr="00126E99" w:rsidRDefault="001D5CC1" w:rsidP="00126E99">
            <w:pPr>
              <w:pStyle w:val="NoSpacing"/>
              <w:spacing w:line="276" w:lineRule="auto"/>
              <w:rPr>
                <w:rFonts w:ascii="Times New Roman" w:hAnsi="Times New Roman"/>
                <w:sz w:val="20"/>
                <w:szCs w:val="20"/>
              </w:rPr>
            </w:pPr>
            <w:r w:rsidRPr="00126E99">
              <w:rPr>
                <w:rFonts w:ascii="Times New Roman" w:hAnsi="Times New Roman"/>
                <w:sz w:val="20"/>
                <w:szCs w:val="20"/>
              </w:rPr>
              <w:t>Property</w:t>
            </w:r>
          </w:p>
        </w:tc>
        <w:tc>
          <w:tcPr>
            <w:tcW w:w="3150" w:type="dxa"/>
            <w:tcBorders>
              <w:top w:val="single" w:sz="4" w:space="0" w:color="auto"/>
              <w:left w:val="single" w:sz="4" w:space="0" w:color="auto"/>
              <w:bottom w:val="single" w:sz="4" w:space="0" w:color="auto"/>
              <w:right w:val="single" w:sz="4" w:space="0" w:color="auto"/>
            </w:tcBorders>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For all the Models (in mm.)</w:t>
            </w:r>
          </w:p>
        </w:tc>
      </w:tr>
      <w:tr w:rsidR="001D5CC1" w:rsidRPr="00126E99" w:rsidTr="00534575">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1D5CC1" w:rsidRPr="00126E99" w:rsidRDefault="001D5CC1" w:rsidP="00126E99">
            <w:pPr>
              <w:pStyle w:val="NoSpacing"/>
              <w:spacing w:line="276" w:lineRule="auto"/>
              <w:rPr>
                <w:rFonts w:ascii="Times New Roman" w:hAnsi="Times New Roman"/>
                <w:sz w:val="20"/>
                <w:szCs w:val="20"/>
              </w:rPr>
            </w:pPr>
            <w:r w:rsidRPr="00126E99">
              <w:rPr>
                <w:rFonts w:ascii="Times New Roman" w:hAnsi="Times New Roman"/>
                <w:sz w:val="20"/>
                <w:szCs w:val="20"/>
              </w:rPr>
              <w:t>Columns</w:t>
            </w:r>
          </w:p>
        </w:tc>
        <w:tc>
          <w:tcPr>
            <w:tcW w:w="3150" w:type="dxa"/>
            <w:tcBorders>
              <w:top w:val="single" w:sz="4" w:space="0" w:color="auto"/>
              <w:left w:val="single" w:sz="4" w:space="0" w:color="auto"/>
              <w:bottom w:val="single" w:sz="4" w:space="0" w:color="auto"/>
              <w:right w:val="single" w:sz="4" w:space="0" w:color="auto"/>
            </w:tcBorders>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400 x 400</w:t>
            </w:r>
          </w:p>
        </w:tc>
      </w:tr>
      <w:tr w:rsidR="001D5CC1" w:rsidRPr="00126E99" w:rsidTr="00534575">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1D5CC1" w:rsidRPr="00126E99" w:rsidRDefault="001D5CC1" w:rsidP="00126E99">
            <w:pPr>
              <w:pStyle w:val="NoSpacing"/>
              <w:spacing w:line="276" w:lineRule="auto"/>
              <w:rPr>
                <w:rFonts w:ascii="Times New Roman" w:hAnsi="Times New Roman"/>
                <w:sz w:val="20"/>
                <w:szCs w:val="20"/>
              </w:rPr>
            </w:pPr>
            <w:r w:rsidRPr="00126E99">
              <w:rPr>
                <w:rFonts w:ascii="Times New Roman" w:hAnsi="Times New Roman"/>
                <w:sz w:val="20"/>
                <w:szCs w:val="20"/>
              </w:rPr>
              <w:t>Beams</w:t>
            </w:r>
          </w:p>
        </w:tc>
        <w:tc>
          <w:tcPr>
            <w:tcW w:w="3150" w:type="dxa"/>
            <w:tcBorders>
              <w:top w:val="single" w:sz="4" w:space="0" w:color="auto"/>
              <w:left w:val="single" w:sz="4" w:space="0" w:color="auto"/>
              <w:bottom w:val="single" w:sz="4" w:space="0" w:color="auto"/>
              <w:right w:val="single" w:sz="4" w:space="0" w:color="auto"/>
            </w:tcBorders>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500 x 400</w:t>
            </w:r>
          </w:p>
        </w:tc>
      </w:tr>
      <w:tr w:rsidR="001D5CC1" w:rsidRPr="00126E99" w:rsidTr="00534575">
        <w:trPr>
          <w:jc w:val="center"/>
        </w:trPr>
        <w:tc>
          <w:tcPr>
            <w:tcW w:w="1260" w:type="dxa"/>
            <w:tcBorders>
              <w:top w:val="single" w:sz="4" w:space="0" w:color="auto"/>
              <w:left w:val="single" w:sz="4" w:space="0" w:color="auto"/>
              <w:bottom w:val="single" w:sz="4" w:space="0" w:color="auto"/>
              <w:right w:val="single" w:sz="4" w:space="0" w:color="auto"/>
            </w:tcBorders>
            <w:vAlign w:val="center"/>
          </w:tcPr>
          <w:p w:rsidR="001D5CC1" w:rsidRPr="00126E99" w:rsidRDefault="001D5CC1" w:rsidP="00126E99">
            <w:pPr>
              <w:pStyle w:val="NoSpacing"/>
              <w:spacing w:line="276" w:lineRule="auto"/>
              <w:rPr>
                <w:rFonts w:ascii="Times New Roman" w:hAnsi="Times New Roman"/>
                <w:sz w:val="20"/>
                <w:szCs w:val="20"/>
              </w:rPr>
            </w:pPr>
            <w:r w:rsidRPr="00126E99">
              <w:rPr>
                <w:rFonts w:ascii="Times New Roman" w:hAnsi="Times New Roman"/>
                <w:sz w:val="20"/>
                <w:szCs w:val="20"/>
              </w:rPr>
              <w:t>Slabs</w:t>
            </w:r>
          </w:p>
        </w:tc>
        <w:tc>
          <w:tcPr>
            <w:tcW w:w="3150" w:type="dxa"/>
            <w:tcBorders>
              <w:top w:val="single" w:sz="4" w:space="0" w:color="auto"/>
              <w:left w:val="single" w:sz="4" w:space="0" w:color="auto"/>
              <w:bottom w:val="single" w:sz="4" w:space="0" w:color="auto"/>
              <w:right w:val="single" w:sz="4" w:space="0" w:color="auto"/>
            </w:tcBorders>
            <w:vAlign w:val="center"/>
          </w:tcPr>
          <w:p w:rsidR="001D5CC1" w:rsidRPr="00126E99" w:rsidRDefault="001D5CC1" w:rsidP="00126E99">
            <w:pPr>
              <w:pStyle w:val="NoSpacing"/>
              <w:spacing w:line="276" w:lineRule="auto"/>
              <w:jc w:val="center"/>
              <w:rPr>
                <w:rFonts w:ascii="Times New Roman" w:hAnsi="Times New Roman"/>
                <w:sz w:val="20"/>
                <w:szCs w:val="20"/>
              </w:rPr>
            </w:pPr>
            <w:r w:rsidRPr="00126E99">
              <w:rPr>
                <w:rFonts w:ascii="Times New Roman" w:hAnsi="Times New Roman"/>
                <w:sz w:val="20"/>
                <w:szCs w:val="20"/>
              </w:rPr>
              <w:t>25</w:t>
            </w:r>
            <w:r w:rsidR="00DF2B9E" w:rsidRPr="00126E99">
              <w:rPr>
                <w:rFonts w:ascii="Times New Roman" w:hAnsi="Times New Roman"/>
                <w:sz w:val="20"/>
                <w:szCs w:val="20"/>
              </w:rPr>
              <w:t>0</w:t>
            </w:r>
          </w:p>
        </w:tc>
      </w:tr>
    </w:tbl>
    <w:p w:rsidR="001D5CC1" w:rsidRPr="00126E99" w:rsidRDefault="001D5CC1" w:rsidP="00126E99">
      <w:pPr>
        <w:pStyle w:val="NoSpacing"/>
        <w:spacing w:line="276" w:lineRule="auto"/>
        <w:rPr>
          <w:rFonts w:ascii="Times New Roman" w:hAnsi="Times New Roman"/>
          <w:sz w:val="20"/>
          <w:szCs w:val="20"/>
        </w:rPr>
      </w:pPr>
    </w:p>
    <w:p w:rsidR="001D5CC1" w:rsidRPr="00126E99" w:rsidRDefault="001D5CC1" w:rsidP="00126E99">
      <w:pPr>
        <w:pStyle w:val="NoSpacing"/>
        <w:numPr>
          <w:ilvl w:val="0"/>
          <w:numId w:val="32"/>
        </w:numPr>
        <w:spacing w:line="276" w:lineRule="auto"/>
        <w:jc w:val="both"/>
        <w:rPr>
          <w:rFonts w:ascii="Times New Roman" w:hAnsi="Times New Roman"/>
          <w:sz w:val="20"/>
          <w:szCs w:val="20"/>
        </w:rPr>
      </w:pPr>
      <w:r w:rsidRPr="00126E99">
        <w:rPr>
          <w:rFonts w:ascii="Times New Roman" w:hAnsi="Times New Roman"/>
          <w:sz w:val="20"/>
          <w:szCs w:val="20"/>
        </w:rPr>
        <w:t xml:space="preserve">Hydrostatic loads are considered in the horizontal direction only and the </w:t>
      </w:r>
      <w:r w:rsidR="00DF2B9E" w:rsidRPr="00126E99">
        <w:rPr>
          <w:rFonts w:ascii="Times New Roman" w:hAnsi="Times New Roman"/>
          <w:sz w:val="20"/>
          <w:szCs w:val="20"/>
        </w:rPr>
        <w:t xml:space="preserve">effect of </w:t>
      </w:r>
      <w:r w:rsidRPr="00126E99">
        <w:rPr>
          <w:rFonts w:ascii="Times New Roman" w:hAnsi="Times New Roman"/>
          <w:sz w:val="20"/>
          <w:szCs w:val="20"/>
        </w:rPr>
        <w:t>vertical direction are assumed to be insignificant</w:t>
      </w:r>
      <w:r w:rsidR="00DF2B9E" w:rsidRPr="00126E99">
        <w:rPr>
          <w:rFonts w:ascii="Times New Roman" w:hAnsi="Times New Roman"/>
          <w:sz w:val="20"/>
          <w:szCs w:val="20"/>
        </w:rPr>
        <w:t xml:space="preserve"> as they did not vary by a considerable amount in different cases</w:t>
      </w:r>
      <w:r w:rsidRPr="00126E99">
        <w:rPr>
          <w:rFonts w:ascii="Times New Roman" w:hAnsi="Times New Roman"/>
          <w:sz w:val="20"/>
          <w:szCs w:val="20"/>
        </w:rPr>
        <w:t>.</w:t>
      </w:r>
    </w:p>
    <w:p w:rsidR="001D5CC1" w:rsidRPr="00126E99" w:rsidRDefault="001D5CC1" w:rsidP="00126E99">
      <w:pPr>
        <w:pStyle w:val="NoSpacing"/>
        <w:numPr>
          <w:ilvl w:val="0"/>
          <w:numId w:val="32"/>
        </w:numPr>
        <w:spacing w:line="276" w:lineRule="auto"/>
        <w:jc w:val="both"/>
        <w:rPr>
          <w:rFonts w:ascii="Times New Roman" w:hAnsi="Times New Roman"/>
          <w:sz w:val="20"/>
          <w:szCs w:val="20"/>
        </w:rPr>
      </w:pPr>
      <w:r w:rsidRPr="00126E99">
        <w:rPr>
          <w:rFonts w:ascii="Times New Roman" w:hAnsi="Times New Roman"/>
          <w:sz w:val="20"/>
          <w:szCs w:val="20"/>
        </w:rPr>
        <w:t>The buildings are to be designed for the following conditions:</w:t>
      </w:r>
    </w:p>
    <w:p w:rsidR="001D5CC1" w:rsidRPr="00126E99" w:rsidRDefault="001D5CC1" w:rsidP="00126E99">
      <w:pPr>
        <w:pStyle w:val="NoSpacing"/>
        <w:spacing w:line="276" w:lineRule="auto"/>
        <w:ind w:left="360"/>
        <w:jc w:val="both"/>
        <w:rPr>
          <w:rFonts w:ascii="Times New Roman" w:hAnsi="Times New Roman"/>
          <w:sz w:val="20"/>
          <w:szCs w:val="20"/>
        </w:rPr>
      </w:pPr>
      <w:r w:rsidRPr="00126E99">
        <w:rPr>
          <w:rFonts w:ascii="Times New Roman" w:hAnsi="Times New Roman"/>
          <w:sz w:val="20"/>
          <w:szCs w:val="20"/>
        </w:rPr>
        <w:t>Live load = 5 KN/m</w:t>
      </w:r>
      <w:r w:rsidRPr="00126E99">
        <w:rPr>
          <w:rFonts w:ascii="Times New Roman" w:hAnsi="Times New Roman"/>
          <w:sz w:val="20"/>
          <w:szCs w:val="20"/>
          <w:vertAlign w:val="superscript"/>
        </w:rPr>
        <w:t>2</w:t>
      </w:r>
      <w:r w:rsidRPr="00126E99">
        <w:rPr>
          <w:rFonts w:ascii="Times New Roman" w:hAnsi="Times New Roman"/>
          <w:sz w:val="20"/>
          <w:szCs w:val="20"/>
        </w:rPr>
        <w:t xml:space="preserve"> (Bottom Dome)</w:t>
      </w:r>
    </w:p>
    <w:p w:rsidR="001D5CC1" w:rsidRPr="00126E99" w:rsidRDefault="001D5CC1" w:rsidP="00126E99">
      <w:pPr>
        <w:pStyle w:val="NoSpacing"/>
        <w:spacing w:line="276" w:lineRule="auto"/>
        <w:ind w:left="360"/>
        <w:jc w:val="both"/>
        <w:rPr>
          <w:rFonts w:ascii="Times New Roman" w:hAnsi="Times New Roman"/>
          <w:sz w:val="20"/>
          <w:szCs w:val="20"/>
        </w:rPr>
      </w:pPr>
      <w:r w:rsidRPr="00126E99">
        <w:rPr>
          <w:rFonts w:ascii="Times New Roman" w:hAnsi="Times New Roman"/>
          <w:sz w:val="20"/>
          <w:szCs w:val="20"/>
        </w:rPr>
        <w:t>Hydrostatic Force on the walls = Range (-20 to 0.001) KN/m</w:t>
      </w:r>
      <w:r w:rsidRPr="00126E99">
        <w:rPr>
          <w:rFonts w:ascii="Times New Roman" w:hAnsi="Times New Roman"/>
          <w:sz w:val="20"/>
          <w:szCs w:val="20"/>
          <w:vertAlign w:val="superscript"/>
        </w:rPr>
        <w:t>2</w:t>
      </w:r>
    </w:p>
    <w:p w:rsidR="001D5CC1" w:rsidRPr="00126E99" w:rsidRDefault="001D5CC1" w:rsidP="00126E99">
      <w:pPr>
        <w:pStyle w:val="NoSpacing"/>
        <w:spacing w:line="276" w:lineRule="auto"/>
        <w:ind w:left="360"/>
        <w:jc w:val="both"/>
        <w:rPr>
          <w:rFonts w:ascii="Times New Roman" w:hAnsi="Times New Roman"/>
          <w:sz w:val="20"/>
          <w:szCs w:val="20"/>
        </w:rPr>
      </w:pPr>
      <w:r w:rsidRPr="00126E99">
        <w:rPr>
          <w:rFonts w:ascii="Times New Roman" w:hAnsi="Times New Roman"/>
          <w:sz w:val="20"/>
          <w:szCs w:val="20"/>
        </w:rPr>
        <w:t>Height of Staging = 10 m (In all the models)</w:t>
      </w:r>
    </w:p>
    <w:p w:rsidR="00366993" w:rsidRPr="00534575" w:rsidRDefault="00366993" w:rsidP="00534575">
      <w:pPr>
        <w:pStyle w:val="NoSpacing"/>
        <w:spacing w:line="276" w:lineRule="auto"/>
        <w:rPr>
          <w:rFonts w:ascii="Times New Roman" w:hAnsi="Times New Roman"/>
          <w:sz w:val="24"/>
          <w:szCs w:val="24"/>
        </w:rPr>
        <w:sectPr w:rsidR="00366993" w:rsidRPr="00534575" w:rsidSect="00534575">
          <w:type w:val="continuous"/>
          <w:pgSz w:w="12240" w:h="15840"/>
          <w:pgMar w:top="1440" w:right="1152" w:bottom="1440" w:left="1728" w:header="720" w:footer="720" w:gutter="0"/>
          <w:cols w:space="720"/>
          <w:docGrid w:linePitch="360"/>
        </w:sectPr>
      </w:pPr>
    </w:p>
    <w:p w:rsidR="00EB29C4" w:rsidRPr="00534575" w:rsidRDefault="00EB29C4" w:rsidP="00534575">
      <w:pPr>
        <w:pStyle w:val="NoSpacing"/>
        <w:spacing w:line="276" w:lineRule="auto"/>
        <w:jc w:val="center"/>
        <w:rPr>
          <w:rFonts w:ascii="Times New Roman" w:hAnsi="Times New Roman"/>
          <w:sz w:val="24"/>
          <w:szCs w:val="24"/>
        </w:rPr>
      </w:pPr>
    </w:p>
    <w:p w:rsidR="001D5CC1" w:rsidRPr="00534575" w:rsidRDefault="001E3DD7" w:rsidP="00534575">
      <w:pPr>
        <w:pStyle w:val="NoSpacing"/>
        <w:spacing w:line="276" w:lineRule="auto"/>
        <w:jc w:val="center"/>
        <w:rPr>
          <w:rFonts w:ascii="Times New Roman" w:hAnsi="Times New Roman"/>
          <w:sz w:val="24"/>
          <w:szCs w:val="24"/>
        </w:rPr>
      </w:pPr>
      <w:r w:rsidRPr="00534575">
        <w:rPr>
          <w:rFonts w:ascii="Times New Roman" w:hAnsi="Times New Roman"/>
          <w:noProof/>
          <w:sz w:val="24"/>
          <w:szCs w:val="24"/>
          <w:lang w:val="en-IN" w:eastAsia="en-IN"/>
        </w:rPr>
        <w:drawing>
          <wp:inline distT="0" distB="0" distL="0" distR="0">
            <wp:extent cx="1934210" cy="2628900"/>
            <wp:effectExtent l="19050" t="0" r="8890" b="0"/>
            <wp:docPr id="1" name="Picture 16" descr="Frame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s - Copy.PNG"/>
                    <pic:cNvPicPr/>
                  </pic:nvPicPr>
                  <pic:blipFill>
                    <a:blip r:embed="rId10" cstate="print"/>
                    <a:srcRect t="3922"/>
                    <a:stretch>
                      <a:fillRect/>
                    </a:stretch>
                  </pic:blipFill>
                  <pic:spPr>
                    <a:xfrm>
                      <a:off x="0" y="0"/>
                      <a:ext cx="1934210" cy="2628900"/>
                    </a:xfrm>
                    <a:prstGeom prst="rect">
                      <a:avLst/>
                    </a:prstGeom>
                  </pic:spPr>
                </pic:pic>
              </a:graphicData>
            </a:graphic>
          </wp:inline>
        </w:drawing>
      </w:r>
      <w:r w:rsidR="001D5CC1" w:rsidRPr="00534575">
        <w:rPr>
          <w:rFonts w:ascii="Times New Roman" w:hAnsi="Times New Roman"/>
          <w:noProof/>
          <w:sz w:val="24"/>
          <w:szCs w:val="24"/>
          <w:lang w:val="en-IN" w:eastAsia="en-IN"/>
        </w:rPr>
        <w:drawing>
          <wp:inline distT="0" distB="0" distL="0" distR="0">
            <wp:extent cx="1749853" cy="2581275"/>
            <wp:effectExtent l="19050" t="0" r="2747" b="0"/>
            <wp:docPr id="7" name="Picture 22" descr="Plan &amp; Elev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 &amp; Elevation.PNG"/>
                    <pic:cNvPicPr/>
                  </pic:nvPicPr>
                  <pic:blipFill>
                    <a:blip r:embed="rId11" cstate="print"/>
                    <a:srcRect t="4971" b="5848"/>
                    <a:stretch>
                      <a:fillRect/>
                    </a:stretch>
                  </pic:blipFill>
                  <pic:spPr>
                    <a:xfrm>
                      <a:off x="0" y="0"/>
                      <a:ext cx="1755584" cy="2589729"/>
                    </a:xfrm>
                    <a:prstGeom prst="rect">
                      <a:avLst/>
                    </a:prstGeom>
                  </pic:spPr>
                </pic:pic>
              </a:graphicData>
            </a:graphic>
          </wp:inline>
        </w:drawing>
      </w:r>
      <w:r w:rsidR="001D5CC1" w:rsidRPr="00534575">
        <w:rPr>
          <w:rFonts w:ascii="Times New Roman" w:hAnsi="Times New Roman"/>
          <w:noProof/>
          <w:sz w:val="24"/>
          <w:szCs w:val="24"/>
          <w:lang w:val="en-IN" w:eastAsia="en-IN"/>
        </w:rPr>
        <w:drawing>
          <wp:inline distT="0" distB="0" distL="0" distR="0">
            <wp:extent cx="2032663" cy="2000250"/>
            <wp:effectExtent l="19050" t="0" r="5687" b="0"/>
            <wp:docPr id="8" name="Picture 2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2037293" cy="2004806"/>
                    </a:xfrm>
                    <a:prstGeom prst="rect">
                      <a:avLst/>
                    </a:prstGeom>
                  </pic:spPr>
                </pic:pic>
              </a:graphicData>
            </a:graphic>
          </wp:inline>
        </w:drawing>
      </w:r>
    </w:p>
    <w:p w:rsidR="00126E99" w:rsidRDefault="00126E99" w:rsidP="00534575">
      <w:pPr>
        <w:pStyle w:val="NoSpacing"/>
        <w:spacing w:line="276" w:lineRule="auto"/>
        <w:jc w:val="center"/>
        <w:rPr>
          <w:rFonts w:ascii="Times New Roman" w:hAnsi="Times New Roman"/>
          <w:sz w:val="20"/>
          <w:szCs w:val="20"/>
        </w:rPr>
      </w:pPr>
    </w:p>
    <w:p w:rsidR="00126E99" w:rsidRDefault="00126E99" w:rsidP="00534575">
      <w:pPr>
        <w:pStyle w:val="NoSpacing"/>
        <w:spacing w:line="276" w:lineRule="auto"/>
        <w:jc w:val="center"/>
        <w:rPr>
          <w:rFonts w:ascii="Times New Roman" w:hAnsi="Times New Roman"/>
          <w:sz w:val="20"/>
          <w:szCs w:val="20"/>
        </w:rPr>
      </w:pPr>
    </w:p>
    <w:p w:rsidR="001D5CC1" w:rsidRPr="00126E99" w:rsidRDefault="001D5CC1" w:rsidP="00534575">
      <w:pPr>
        <w:pStyle w:val="NoSpacing"/>
        <w:spacing w:line="276" w:lineRule="auto"/>
        <w:jc w:val="center"/>
        <w:rPr>
          <w:rFonts w:ascii="Times New Roman" w:hAnsi="Times New Roman"/>
          <w:sz w:val="20"/>
          <w:szCs w:val="20"/>
        </w:rPr>
      </w:pPr>
      <w:r w:rsidRPr="00126E99">
        <w:rPr>
          <w:rFonts w:ascii="Times New Roman" w:hAnsi="Times New Roman"/>
          <w:sz w:val="20"/>
          <w:szCs w:val="20"/>
        </w:rPr>
        <w:t xml:space="preserve">Fig. </w:t>
      </w:r>
      <w:r w:rsidR="00DF2B9E" w:rsidRPr="00126E99">
        <w:rPr>
          <w:rFonts w:ascii="Times New Roman" w:hAnsi="Times New Roman"/>
          <w:sz w:val="20"/>
          <w:szCs w:val="20"/>
        </w:rPr>
        <w:t>3</w:t>
      </w:r>
      <w:r w:rsidRPr="00126E99">
        <w:rPr>
          <w:rFonts w:ascii="Times New Roman" w:hAnsi="Times New Roman"/>
          <w:sz w:val="20"/>
          <w:szCs w:val="20"/>
        </w:rPr>
        <w:t xml:space="preserve"> – </w:t>
      </w:r>
      <w:r w:rsidR="00DF2B9E" w:rsidRPr="00126E99">
        <w:rPr>
          <w:rFonts w:ascii="Times New Roman" w:hAnsi="Times New Roman"/>
          <w:sz w:val="20"/>
          <w:szCs w:val="20"/>
        </w:rPr>
        <w:t>Bird-eye</w:t>
      </w:r>
      <w:r w:rsidR="001E3DD7" w:rsidRPr="00126E99">
        <w:rPr>
          <w:rFonts w:ascii="Times New Roman" w:hAnsi="Times New Roman"/>
          <w:sz w:val="20"/>
          <w:szCs w:val="20"/>
        </w:rPr>
        <w:t xml:space="preserve"> </w:t>
      </w:r>
      <w:r w:rsidR="00DF2B9E" w:rsidRPr="00126E99">
        <w:rPr>
          <w:rFonts w:ascii="Times New Roman" w:hAnsi="Times New Roman"/>
          <w:sz w:val="20"/>
          <w:szCs w:val="20"/>
        </w:rPr>
        <w:t>v</w:t>
      </w:r>
      <w:r w:rsidR="001E3DD7" w:rsidRPr="00126E99">
        <w:rPr>
          <w:rFonts w:ascii="Times New Roman" w:hAnsi="Times New Roman"/>
          <w:sz w:val="20"/>
          <w:szCs w:val="20"/>
        </w:rPr>
        <w:t xml:space="preserve">iew, </w:t>
      </w:r>
      <w:r w:rsidR="00DF2B9E" w:rsidRPr="00126E99">
        <w:rPr>
          <w:rFonts w:ascii="Times New Roman" w:hAnsi="Times New Roman"/>
          <w:sz w:val="20"/>
          <w:szCs w:val="20"/>
        </w:rPr>
        <w:t>e</w:t>
      </w:r>
      <w:r w:rsidRPr="00126E99">
        <w:rPr>
          <w:rFonts w:ascii="Times New Roman" w:hAnsi="Times New Roman"/>
          <w:sz w:val="20"/>
          <w:szCs w:val="20"/>
        </w:rPr>
        <w:t xml:space="preserve">levation </w:t>
      </w:r>
      <w:r w:rsidR="00DF2B9E" w:rsidRPr="00126E99">
        <w:rPr>
          <w:rFonts w:ascii="Times New Roman" w:hAnsi="Times New Roman"/>
          <w:sz w:val="20"/>
          <w:szCs w:val="20"/>
        </w:rPr>
        <w:t xml:space="preserve">and plan </w:t>
      </w:r>
      <w:r w:rsidRPr="00126E99">
        <w:rPr>
          <w:rFonts w:ascii="Times New Roman" w:hAnsi="Times New Roman"/>
          <w:sz w:val="20"/>
          <w:szCs w:val="20"/>
        </w:rPr>
        <w:t>of the model</w:t>
      </w:r>
    </w:p>
    <w:p w:rsidR="001D5CC1" w:rsidRPr="00534575" w:rsidRDefault="001D5CC1" w:rsidP="00534575">
      <w:pPr>
        <w:pStyle w:val="NoSpacing"/>
        <w:spacing w:line="276" w:lineRule="auto"/>
        <w:jc w:val="center"/>
        <w:rPr>
          <w:rFonts w:ascii="Times New Roman" w:hAnsi="Times New Roman"/>
          <w:sz w:val="24"/>
          <w:szCs w:val="24"/>
        </w:rPr>
      </w:pPr>
      <w:r w:rsidRPr="00534575">
        <w:rPr>
          <w:rFonts w:ascii="Times New Roman" w:hAnsi="Times New Roman"/>
          <w:noProof/>
          <w:sz w:val="24"/>
          <w:szCs w:val="24"/>
          <w:lang w:val="en-IN" w:eastAsia="en-IN"/>
        </w:rPr>
        <w:drawing>
          <wp:inline distT="0" distB="0" distL="0" distR="0">
            <wp:extent cx="1866900" cy="2557088"/>
            <wp:effectExtent l="19050" t="0" r="0" b="0"/>
            <wp:docPr id="9" name="Picture 21" descr="3D 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 Frame.PNG"/>
                    <pic:cNvPicPr/>
                  </pic:nvPicPr>
                  <pic:blipFill>
                    <a:blip r:embed="rId13" cstate="print"/>
                    <a:stretch>
                      <a:fillRect/>
                    </a:stretch>
                  </pic:blipFill>
                  <pic:spPr>
                    <a:xfrm>
                      <a:off x="0" y="0"/>
                      <a:ext cx="1867440" cy="2557828"/>
                    </a:xfrm>
                    <a:prstGeom prst="rect">
                      <a:avLst/>
                    </a:prstGeom>
                  </pic:spPr>
                </pic:pic>
              </a:graphicData>
            </a:graphic>
          </wp:inline>
        </w:drawing>
      </w:r>
      <w:r w:rsidRPr="00534575">
        <w:rPr>
          <w:rFonts w:ascii="Times New Roman" w:hAnsi="Times New Roman"/>
          <w:noProof/>
          <w:sz w:val="24"/>
          <w:szCs w:val="24"/>
          <w:lang w:val="en-IN" w:eastAsia="en-IN"/>
        </w:rPr>
        <w:drawing>
          <wp:inline distT="0" distB="0" distL="0" distR="0">
            <wp:extent cx="1619250" cy="2406069"/>
            <wp:effectExtent l="19050" t="0" r="0" b="0"/>
            <wp:docPr id="10" name="Picture 27"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4" cstate="print"/>
                    <a:stretch>
                      <a:fillRect/>
                    </a:stretch>
                  </pic:blipFill>
                  <pic:spPr>
                    <a:xfrm>
                      <a:off x="0" y="0"/>
                      <a:ext cx="1620447" cy="2407847"/>
                    </a:xfrm>
                    <a:prstGeom prst="rect">
                      <a:avLst/>
                    </a:prstGeom>
                  </pic:spPr>
                </pic:pic>
              </a:graphicData>
            </a:graphic>
          </wp:inline>
        </w:drawing>
      </w:r>
    </w:p>
    <w:p w:rsidR="001D5CC1" w:rsidRPr="00126E99" w:rsidRDefault="001D5CC1" w:rsidP="00534575">
      <w:pPr>
        <w:pStyle w:val="NoSpacing"/>
        <w:spacing w:line="276" w:lineRule="auto"/>
        <w:jc w:val="center"/>
        <w:rPr>
          <w:rFonts w:ascii="Times New Roman" w:hAnsi="Times New Roman"/>
          <w:sz w:val="20"/>
          <w:szCs w:val="20"/>
        </w:rPr>
      </w:pPr>
      <w:r w:rsidRPr="00126E99">
        <w:rPr>
          <w:rFonts w:ascii="Times New Roman" w:hAnsi="Times New Roman"/>
          <w:sz w:val="20"/>
          <w:szCs w:val="20"/>
        </w:rPr>
        <w:t>Fig.</w:t>
      </w:r>
      <w:r w:rsidR="00DF2B9E" w:rsidRPr="00126E99">
        <w:rPr>
          <w:rFonts w:ascii="Times New Roman" w:hAnsi="Times New Roman"/>
          <w:sz w:val="20"/>
          <w:szCs w:val="20"/>
        </w:rPr>
        <w:t>4</w:t>
      </w:r>
      <w:r w:rsidRPr="00126E99">
        <w:rPr>
          <w:rFonts w:ascii="Times New Roman" w:hAnsi="Times New Roman"/>
          <w:sz w:val="20"/>
          <w:szCs w:val="20"/>
        </w:rPr>
        <w:t xml:space="preserve"> – 3D model of </w:t>
      </w:r>
      <w:r w:rsidR="001E3DD7" w:rsidRPr="00126E99">
        <w:rPr>
          <w:rFonts w:ascii="Times New Roman" w:hAnsi="Times New Roman"/>
          <w:sz w:val="20"/>
          <w:szCs w:val="20"/>
        </w:rPr>
        <w:t>generated</w:t>
      </w:r>
      <w:r w:rsidRPr="00126E99">
        <w:rPr>
          <w:rFonts w:ascii="Times New Roman" w:hAnsi="Times New Roman"/>
          <w:sz w:val="20"/>
          <w:szCs w:val="20"/>
        </w:rPr>
        <w:t xml:space="preserve"> water tank</w:t>
      </w:r>
      <w:r w:rsidR="001E3DD7" w:rsidRPr="00126E99">
        <w:rPr>
          <w:rFonts w:ascii="Times New Roman" w:hAnsi="Times New Roman"/>
          <w:sz w:val="20"/>
          <w:szCs w:val="20"/>
        </w:rPr>
        <w:t>s</w:t>
      </w:r>
    </w:p>
    <w:p w:rsidR="001E3DD7" w:rsidRPr="00534575" w:rsidRDefault="001E3DD7" w:rsidP="00534575">
      <w:pPr>
        <w:pStyle w:val="NoSpacing"/>
        <w:spacing w:line="276" w:lineRule="auto"/>
        <w:rPr>
          <w:rFonts w:ascii="Times New Roman" w:hAnsi="Times New Roman"/>
          <w:sz w:val="24"/>
          <w:szCs w:val="24"/>
        </w:rPr>
        <w:sectPr w:rsidR="001E3DD7" w:rsidRPr="00534575" w:rsidSect="00534575">
          <w:type w:val="continuous"/>
          <w:pgSz w:w="12240" w:h="15840"/>
          <w:pgMar w:top="1440" w:right="1152" w:bottom="1440" w:left="1728" w:header="720" w:footer="720" w:gutter="0"/>
          <w:cols w:space="720"/>
          <w:docGrid w:linePitch="360"/>
        </w:sectPr>
      </w:pPr>
    </w:p>
    <w:p w:rsidR="001D5CC1" w:rsidRPr="00534575" w:rsidRDefault="001D5CC1" w:rsidP="00534575">
      <w:pPr>
        <w:pStyle w:val="NoSpacing"/>
        <w:spacing w:line="276" w:lineRule="auto"/>
        <w:rPr>
          <w:rFonts w:ascii="Times New Roman" w:hAnsi="Times New Roman"/>
          <w:sz w:val="24"/>
          <w:szCs w:val="24"/>
        </w:rPr>
      </w:pPr>
    </w:p>
    <w:p w:rsidR="001E3DD7" w:rsidRPr="00534575" w:rsidRDefault="001E3DD7" w:rsidP="00534575">
      <w:pPr>
        <w:pStyle w:val="NoSpacing"/>
        <w:spacing w:line="276" w:lineRule="auto"/>
        <w:jc w:val="both"/>
        <w:rPr>
          <w:rFonts w:ascii="Times New Roman" w:hAnsi="Times New Roman"/>
          <w:sz w:val="24"/>
          <w:szCs w:val="24"/>
        </w:rPr>
        <w:sectPr w:rsidR="001E3DD7" w:rsidRPr="00534575" w:rsidSect="00534575">
          <w:type w:val="continuous"/>
          <w:pgSz w:w="12240" w:h="15840"/>
          <w:pgMar w:top="1440" w:right="1152" w:bottom="1440" w:left="1728" w:header="720" w:footer="720" w:gutter="0"/>
          <w:cols w:space="720"/>
          <w:docGrid w:linePitch="360"/>
        </w:sectPr>
      </w:pPr>
    </w:p>
    <w:p w:rsidR="001D5CC1" w:rsidRPr="00126E99" w:rsidRDefault="001D5CC1" w:rsidP="00126E99">
      <w:pPr>
        <w:pStyle w:val="NoSpacing"/>
        <w:spacing w:line="276" w:lineRule="auto"/>
        <w:jc w:val="both"/>
        <w:rPr>
          <w:rFonts w:ascii="Times New Roman" w:hAnsi="Times New Roman"/>
          <w:sz w:val="20"/>
          <w:szCs w:val="20"/>
        </w:rPr>
      </w:pPr>
      <w:r w:rsidRPr="00126E99">
        <w:rPr>
          <w:rFonts w:ascii="Times New Roman" w:hAnsi="Times New Roman"/>
          <w:sz w:val="20"/>
          <w:szCs w:val="20"/>
        </w:rPr>
        <w:lastRenderedPageBreak/>
        <w:t>The behavior of all the six systems is taken as a basic study on the modeled structure. The following parameters were considered to ascertain that the values obtained after analysis were under the acceptable limits according to IS:456-2000.</w:t>
      </w:r>
    </w:p>
    <w:p w:rsidR="004E0073" w:rsidRPr="00126E99" w:rsidRDefault="004E0073" w:rsidP="00126E99">
      <w:pPr>
        <w:pStyle w:val="ListParagraph"/>
        <w:numPr>
          <w:ilvl w:val="0"/>
          <w:numId w:val="41"/>
        </w:numPr>
        <w:ind w:left="360"/>
        <w:rPr>
          <w:rFonts w:ascii="Times New Roman" w:hAnsi="Times New Roman"/>
          <w:sz w:val="20"/>
          <w:szCs w:val="20"/>
        </w:rPr>
      </w:pPr>
      <w:r w:rsidRPr="00126E99">
        <w:rPr>
          <w:rFonts w:ascii="Times New Roman" w:hAnsi="Times New Roman"/>
          <w:sz w:val="20"/>
          <w:szCs w:val="20"/>
        </w:rPr>
        <w:t>Eig</w:t>
      </w:r>
      <w:r w:rsidR="00DF2B9E" w:rsidRPr="00126E99">
        <w:rPr>
          <w:rFonts w:ascii="Times New Roman" w:hAnsi="Times New Roman"/>
          <w:sz w:val="20"/>
          <w:szCs w:val="20"/>
        </w:rPr>
        <w:t>e</w:t>
      </w:r>
      <w:r w:rsidRPr="00126E99">
        <w:rPr>
          <w:rFonts w:ascii="Times New Roman" w:hAnsi="Times New Roman"/>
          <w:sz w:val="20"/>
          <w:szCs w:val="20"/>
        </w:rPr>
        <w:t xml:space="preserve">n Solutions </w:t>
      </w:r>
    </w:p>
    <w:p w:rsidR="004E0073" w:rsidRPr="00126E99" w:rsidRDefault="004E0073" w:rsidP="00126E99">
      <w:pPr>
        <w:pStyle w:val="ListParagraph"/>
        <w:numPr>
          <w:ilvl w:val="0"/>
          <w:numId w:val="41"/>
        </w:numPr>
        <w:ind w:left="360"/>
        <w:rPr>
          <w:rFonts w:ascii="Times New Roman" w:hAnsi="Times New Roman"/>
          <w:sz w:val="20"/>
          <w:szCs w:val="20"/>
        </w:rPr>
      </w:pPr>
      <w:r w:rsidRPr="00126E99">
        <w:rPr>
          <w:rFonts w:ascii="Times New Roman" w:hAnsi="Times New Roman"/>
          <w:sz w:val="20"/>
          <w:szCs w:val="20"/>
        </w:rPr>
        <w:t>Peak Storey Shear</w:t>
      </w:r>
    </w:p>
    <w:p w:rsidR="004E0073" w:rsidRPr="00126E99" w:rsidRDefault="004E0073" w:rsidP="00126E99">
      <w:pPr>
        <w:pStyle w:val="ListParagraph"/>
        <w:numPr>
          <w:ilvl w:val="0"/>
          <w:numId w:val="41"/>
        </w:numPr>
        <w:ind w:left="360"/>
        <w:rPr>
          <w:rFonts w:ascii="Times New Roman" w:hAnsi="Times New Roman"/>
          <w:sz w:val="20"/>
          <w:szCs w:val="20"/>
        </w:rPr>
      </w:pPr>
      <w:r w:rsidRPr="00126E99">
        <w:rPr>
          <w:rFonts w:ascii="Times New Roman" w:hAnsi="Times New Roman"/>
          <w:sz w:val="20"/>
          <w:szCs w:val="20"/>
        </w:rPr>
        <w:t>Peak Displacement</w:t>
      </w:r>
    </w:p>
    <w:p w:rsidR="004E0073" w:rsidRPr="00126E99" w:rsidRDefault="004E0073" w:rsidP="00126E99">
      <w:pPr>
        <w:pStyle w:val="ListParagraph"/>
        <w:numPr>
          <w:ilvl w:val="0"/>
          <w:numId w:val="41"/>
        </w:numPr>
        <w:ind w:left="360"/>
        <w:rPr>
          <w:rFonts w:ascii="Times New Roman" w:hAnsi="Times New Roman"/>
          <w:sz w:val="20"/>
          <w:szCs w:val="20"/>
        </w:rPr>
      </w:pPr>
      <w:r w:rsidRPr="00126E99">
        <w:rPr>
          <w:rFonts w:ascii="Times New Roman" w:hAnsi="Times New Roman"/>
          <w:sz w:val="20"/>
          <w:szCs w:val="20"/>
        </w:rPr>
        <w:t>Storey Drift</w:t>
      </w:r>
    </w:p>
    <w:p w:rsidR="004E0073" w:rsidRPr="00126E99" w:rsidRDefault="004E0073" w:rsidP="00126E99">
      <w:pPr>
        <w:pStyle w:val="ListParagraph"/>
        <w:numPr>
          <w:ilvl w:val="0"/>
          <w:numId w:val="41"/>
        </w:numPr>
        <w:ind w:left="360"/>
        <w:rPr>
          <w:rFonts w:ascii="Times New Roman" w:hAnsi="Times New Roman"/>
          <w:sz w:val="20"/>
          <w:szCs w:val="20"/>
        </w:rPr>
      </w:pPr>
      <w:r w:rsidRPr="00126E99">
        <w:rPr>
          <w:rFonts w:ascii="Times New Roman" w:hAnsi="Times New Roman"/>
          <w:sz w:val="20"/>
          <w:szCs w:val="20"/>
        </w:rPr>
        <w:t>Approximate cost of materials</w:t>
      </w:r>
    </w:p>
    <w:p w:rsidR="004E0073" w:rsidRPr="00126E99" w:rsidRDefault="004E0073" w:rsidP="00126E99">
      <w:pPr>
        <w:pStyle w:val="ListParagraph"/>
        <w:numPr>
          <w:ilvl w:val="0"/>
          <w:numId w:val="41"/>
        </w:numPr>
        <w:ind w:left="360"/>
        <w:rPr>
          <w:rFonts w:ascii="Times New Roman" w:hAnsi="Times New Roman"/>
          <w:sz w:val="20"/>
          <w:szCs w:val="20"/>
        </w:rPr>
      </w:pPr>
      <w:r w:rsidRPr="00126E99">
        <w:rPr>
          <w:rFonts w:ascii="Times New Roman" w:hAnsi="Times New Roman"/>
          <w:sz w:val="20"/>
          <w:szCs w:val="20"/>
        </w:rPr>
        <w:t>Maximum Plate Stresses</w:t>
      </w:r>
    </w:p>
    <w:p w:rsidR="001E3DD7" w:rsidRPr="00126E99" w:rsidRDefault="001E3DD7" w:rsidP="00126E99">
      <w:pPr>
        <w:pStyle w:val="NoSpacing"/>
        <w:spacing w:line="276" w:lineRule="auto"/>
        <w:jc w:val="both"/>
        <w:rPr>
          <w:rFonts w:ascii="Times New Roman" w:hAnsi="Times New Roman"/>
          <w:sz w:val="20"/>
          <w:szCs w:val="20"/>
        </w:rPr>
      </w:pPr>
      <w:r w:rsidRPr="00126E99">
        <w:rPr>
          <w:rFonts w:ascii="Times New Roman" w:hAnsi="Times New Roman"/>
          <w:sz w:val="20"/>
          <w:szCs w:val="20"/>
        </w:rPr>
        <w:t>When found safe, the total quantity of concrete and steel used in each model is noted down to give a preliminary idea about the overall construction cost. For asserting the simplest yet reliable method for analysis, the combined action of</w:t>
      </w:r>
      <w:r w:rsidR="00DF2B9E" w:rsidRPr="00126E99">
        <w:rPr>
          <w:rFonts w:ascii="Times New Roman" w:hAnsi="Times New Roman"/>
          <w:sz w:val="20"/>
          <w:szCs w:val="20"/>
        </w:rPr>
        <w:t xml:space="preserve"> dead loads</w:t>
      </w:r>
      <w:r w:rsidRPr="00126E99">
        <w:rPr>
          <w:rFonts w:ascii="Times New Roman" w:hAnsi="Times New Roman"/>
          <w:sz w:val="20"/>
          <w:szCs w:val="20"/>
        </w:rPr>
        <w:t xml:space="preserve"> </w:t>
      </w:r>
      <w:r w:rsidR="00DF2B9E" w:rsidRPr="00126E99">
        <w:rPr>
          <w:rFonts w:ascii="Times New Roman" w:hAnsi="Times New Roman"/>
          <w:sz w:val="20"/>
          <w:szCs w:val="20"/>
        </w:rPr>
        <w:t>(</w:t>
      </w:r>
      <w:r w:rsidRPr="00126E99">
        <w:rPr>
          <w:rFonts w:ascii="Times New Roman" w:hAnsi="Times New Roman"/>
          <w:sz w:val="20"/>
          <w:szCs w:val="20"/>
        </w:rPr>
        <w:t>DL</w:t>
      </w:r>
      <w:r w:rsidR="00DF2B9E" w:rsidRPr="00126E99">
        <w:rPr>
          <w:rFonts w:ascii="Times New Roman" w:hAnsi="Times New Roman"/>
          <w:sz w:val="20"/>
          <w:szCs w:val="20"/>
        </w:rPr>
        <w:t>)</w:t>
      </w:r>
      <w:r w:rsidRPr="00126E99">
        <w:rPr>
          <w:rFonts w:ascii="Times New Roman" w:hAnsi="Times New Roman"/>
          <w:sz w:val="20"/>
          <w:szCs w:val="20"/>
        </w:rPr>
        <w:t xml:space="preserve"> &amp; </w:t>
      </w:r>
      <w:r w:rsidR="00DF2B9E" w:rsidRPr="00126E99">
        <w:rPr>
          <w:rFonts w:ascii="Times New Roman" w:hAnsi="Times New Roman"/>
          <w:sz w:val="20"/>
          <w:szCs w:val="20"/>
        </w:rPr>
        <w:t>live loads (</w:t>
      </w:r>
      <w:r w:rsidRPr="00126E99">
        <w:rPr>
          <w:rFonts w:ascii="Times New Roman" w:hAnsi="Times New Roman"/>
          <w:sz w:val="20"/>
          <w:szCs w:val="20"/>
        </w:rPr>
        <w:t>LL</w:t>
      </w:r>
      <w:r w:rsidR="00DF2B9E" w:rsidRPr="00126E99">
        <w:rPr>
          <w:rFonts w:ascii="Times New Roman" w:hAnsi="Times New Roman"/>
          <w:sz w:val="20"/>
          <w:szCs w:val="20"/>
        </w:rPr>
        <w:t>)</w:t>
      </w:r>
      <w:r w:rsidRPr="00126E99">
        <w:rPr>
          <w:rFonts w:ascii="Times New Roman" w:hAnsi="Times New Roman"/>
          <w:sz w:val="20"/>
          <w:szCs w:val="20"/>
        </w:rPr>
        <w:t xml:space="preserve"> </w:t>
      </w:r>
      <w:r w:rsidR="00DF2B9E" w:rsidRPr="00126E99">
        <w:rPr>
          <w:rFonts w:ascii="Times New Roman" w:hAnsi="Times New Roman"/>
          <w:sz w:val="20"/>
          <w:szCs w:val="20"/>
        </w:rPr>
        <w:t>f</w:t>
      </w:r>
      <w:r w:rsidRPr="00126E99">
        <w:rPr>
          <w:rFonts w:ascii="Times New Roman" w:hAnsi="Times New Roman"/>
          <w:sz w:val="20"/>
          <w:szCs w:val="20"/>
        </w:rPr>
        <w:t>are considered i.e. 1.5 DL + 1.5 LL.</w:t>
      </w:r>
    </w:p>
    <w:p w:rsidR="004E0073" w:rsidRPr="00126E99" w:rsidRDefault="004E0073" w:rsidP="00126E99">
      <w:pPr>
        <w:pStyle w:val="NoSpacing"/>
        <w:spacing w:line="276" w:lineRule="auto"/>
        <w:jc w:val="both"/>
        <w:rPr>
          <w:rFonts w:ascii="Times New Roman" w:hAnsi="Times New Roman"/>
          <w:sz w:val="20"/>
          <w:szCs w:val="20"/>
        </w:rPr>
      </w:pPr>
    </w:p>
    <w:p w:rsidR="004E0073" w:rsidRPr="00126E99" w:rsidRDefault="004E0073" w:rsidP="00126E99">
      <w:pPr>
        <w:pStyle w:val="NoSpacing"/>
        <w:spacing w:line="276" w:lineRule="auto"/>
        <w:jc w:val="both"/>
        <w:rPr>
          <w:rFonts w:ascii="Times New Roman" w:hAnsi="Times New Roman"/>
          <w:sz w:val="20"/>
          <w:szCs w:val="20"/>
        </w:rPr>
      </w:pPr>
      <w:r w:rsidRPr="00126E99">
        <w:rPr>
          <w:rFonts w:ascii="Times New Roman" w:hAnsi="Times New Roman"/>
          <w:sz w:val="20"/>
          <w:szCs w:val="20"/>
        </w:rPr>
        <w:t xml:space="preserve">In order to perform the seismic analysis of a structure at any location, the actual records of time history are needed. But it is not practically possible to prepare such records for all the areas and hence in many cases, these records are unavailable. In such cases, </w:t>
      </w:r>
      <w:r w:rsidR="00484FFB" w:rsidRPr="00126E99">
        <w:rPr>
          <w:rFonts w:ascii="Times New Roman" w:hAnsi="Times New Roman"/>
          <w:sz w:val="20"/>
          <w:szCs w:val="20"/>
        </w:rPr>
        <w:t>RSA</w:t>
      </w:r>
      <w:r w:rsidRPr="00126E99">
        <w:rPr>
          <w:rFonts w:ascii="Times New Roman" w:hAnsi="Times New Roman"/>
          <w:sz w:val="20"/>
          <w:szCs w:val="20"/>
        </w:rPr>
        <w:t xml:space="preserve"> is carried out. This method involves the calculation of only the maximum or peak values  of member forces and displacements in each of the considered mode using prescribed design spectra. Th</w:t>
      </w:r>
      <w:r w:rsidR="00327D2E" w:rsidRPr="00126E99">
        <w:rPr>
          <w:rFonts w:ascii="Times New Roman" w:hAnsi="Times New Roman"/>
          <w:sz w:val="20"/>
          <w:szCs w:val="20"/>
        </w:rPr>
        <w:t>e</w:t>
      </w:r>
      <w:r w:rsidRPr="00126E99">
        <w:rPr>
          <w:rFonts w:ascii="Times New Roman" w:hAnsi="Times New Roman"/>
          <w:sz w:val="20"/>
          <w:szCs w:val="20"/>
        </w:rPr>
        <w:t>s</w:t>
      </w:r>
      <w:r w:rsidR="00327D2E" w:rsidRPr="00126E99">
        <w:rPr>
          <w:rFonts w:ascii="Times New Roman" w:hAnsi="Times New Roman"/>
          <w:sz w:val="20"/>
          <w:szCs w:val="20"/>
        </w:rPr>
        <w:t>e</w:t>
      </w:r>
      <w:r w:rsidRPr="00126E99">
        <w:rPr>
          <w:rFonts w:ascii="Times New Roman" w:hAnsi="Times New Roman"/>
          <w:sz w:val="20"/>
          <w:szCs w:val="20"/>
        </w:rPr>
        <w:t xml:space="preserve"> spectra can be used as an effective method of employing earthquake ground motions. As per IS:1893(Part-1)-2002, the response spectra shown </w:t>
      </w:r>
      <w:r w:rsidR="00484FFB" w:rsidRPr="00126E99">
        <w:rPr>
          <w:rFonts w:ascii="Times New Roman" w:hAnsi="Times New Roman"/>
          <w:sz w:val="20"/>
          <w:szCs w:val="20"/>
        </w:rPr>
        <w:t>below</w:t>
      </w:r>
      <w:r w:rsidRPr="00126E99">
        <w:rPr>
          <w:rFonts w:ascii="Times New Roman" w:hAnsi="Times New Roman"/>
          <w:sz w:val="20"/>
          <w:szCs w:val="20"/>
        </w:rPr>
        <w:t xml:space="preserve"> is recommended for design of structures subjected to seismic forces. The spectra is shown for all four seismic zones in India as per IS:1893(Part-1)-2002. A response spectrum is basically a plot of the peak steady-state response in terms of displacement, velocity or acceleration, for of a series of varying natural frequencies. The main limitation of RSA if that they are universally acceptable only for linear systems. For nonlinear analysis, Time-History Analysis is adopted. </w:t>
      </w:r>
      <w:r w:rsidR="00484FFB" w:rsidRPr="00126E99">
        <w:rPr>
          <w:rFonts w:ascii="Times New Roman" w:hAnsi="Times New Roman"/>
          <w:sz w:val="20"/>
          <w:szCs w:val="20"/>
        </w:rPr>
        <w:t xml:space="preserve">In this study, </w:t>
      </w:r>
      <w:r w:rsidR="00327D2E" w:rsidRPr="00126E99">
        <w:rPr>
          <w:rFonts w:ascii="Times New Roman" w:hAnsi="Times New Roman"/>
          <w:sz w:val="20"/>
          <w:szCs w:val="20"/>
        </w:rPr>
        <w:t xml:space="preserve">only the linear portion of the tank behavior was analyzed and in absence of time history data for Lucknow region, </w:t>
      </w:r>
      <w:r w:rsidR="00484FFB" w:rsidRPr="00126E99">
        <w:rPr>
          <w:rFonts w:ascii="Times New Roman" w:hAnsi="Times New Roman"/>
          <w:sz w:val="20"/>
          <w:szCs w:val="20"/>
        </w:rPr>
        <w:t xml:space="preserve">Response Spectrum Analysis (RSA) </w:t>
      </w:r>
      <w:r w:rsidR="00327D2E" w:rsidRPr="00126E99">
        <w:rPr>
          <w:rFonts w:ascii="Times New Roman" w:hAnsi="Times New Roman"/>
          <w:sz w:val="20"/>
          <w:szCs w:val="20"/>
        </w:rPr>
        <w:t>w</w:t>
      </w:r>
      <w:r w:rsidR="00484FFB" w:rsidRPr="00126E99">
        <w:rPr>
          <w:rFonts w:ascii="Times New Roman" w:hAnsi="Times New Roman"/>
          <w:sz w:val="20"/>
          <w:szCs w:val="20"/>
        </w:rPr>
        <w:t>s adopted for the analysis of prepared models.</w:t>
      </w:r>
    </w:p>
    <w:p w:rsidR="004E0073" w:rsidRPr="004E0073" w:rsidRDefault="004E0073" w:rsidP="004E0073">
      <w:pPr>
        <w:pStyle w:val="NoSpacing"/>
        <w:spacing w:line="276" w:lineRule="auto"/>
        <w:jc w:val="center"/>
        <w:rPr>
          <w:rFonts w:ascii="Times New Roman" w:hAnsi="Times New Roman"/>
          <w:sz w:val="24"/>
          <w:szCs w:val="24"/>
        </w:rPr>
      </w:pPr>
      <w:r w:rsidRPr="004E0073">
        <w:rPr>
          <w:rFonts w:ascii="Times New Roman" w:hAnsi="Times New Roman"/>
          <w:noProof/>
          <w:sz w:val="24"/>
          <w:szCs w:val="24"/>
          <w:lang w:val="en-IN" w:eastAsia="en-IN"/>
        </w:rPr>
        <w:drawing>
          <wp:inline distT="0" distB="0" distL="0" distR="0">
            <wp:extent cx="3462177" cy="2828925"/>
            <wp:effectExtent l="19050" t="0" r="4923" b="0"/>
            <wp:docPr id="2" name="Picture 2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5" cstate="print"/>
                    <a:stretch>
                      <a:fillRect/>
                    </a:stretch>
                  </pic:blipFill>
                  <pic:spPr>
                    <a:xfrm>
                      <a:off x="0" y="0"/>
                      <a:ext cx="3490763" cy="2852283"/>
                    </a:xfrm>
                    <a:prstGeom prst="rect">
                      <a:avLst/>
                    </a:prstGeom>
                  </pic:spPr>
                </pic:pic>
              </a:graphicData>
            </a:graphic>
          </wp:inline>
        </w:drawing>
      </w:r>
    </w:p>
    <w:p w:rsidR="004E0073" w:rsidRDefault="004E0073" w:rsidP="004E0073">
      <w:pPr>
        <w:pStyle w:val="NoSpacing"/>
        <w:spacing w:line="276" w:lineRule="auto"/>
        <w:jc w:val="center"/>
        <w:rPr>
          <w:rFonts w:ascii="Times New Roman" w:hAnsi="Times New Roman"/>
          <w:sz w:val="20"/>
          <w:szCs w:val="20"/>
        </w:rPr>
      </w:pPr>
      <w:r w:rsidRPr="00126E99">
        <w:rPr>
          <w:rFonts w:ascii="Times New Roman" w:hAnsi="Times New Roman"/>
          <w:sz w:val="20"/>
          <w:szCs w:val="20"/>
        </w:rPr>
        <w:t>Fig. 3 – Response Spectra for different Seismic Zones as per IS:1893(Part-1)-2002</w:t>
      </w:r>
    </w:p>
    <w:p w:rsidR="00365C93" w:rsidRPr="00126E99" w:rsidRDefault="00365C93" w:rsidP="004E0073">
      <w:pPr>
        <w:pStyle w:val="NoSpacing"/>
        <w:spacing w:line="276" w:lineRule="auto"/>
        <w:jc w:val="center"/>
        <w:rPr>
          <w:rFonts w:ascii="Times New Roman" w:hAnsi="Times New Roman"/>
          <w:sz w:val="20"/>
          <w:szCs w:val="20"/>
        </w:rPr>
      </w:pPr>
    </w:p>
    <w:p w:rsidR="001E3DD7" w:rsidRPr="00534575" w:rsidRDefault="001E3DD7" w:rsidP="00534575">
      <w:pPr>
        <w:pStyle w:val="NoSpacing"/>
        <w:spacing w:line="276" w:lineRule="auto"/>
        <w:jc w:val="both"/>
        <w:rPr>
          <w:rFonts w:ascii="Times New Roman" w:hAnsi="Times New Roman"/>
          <w:sz w:val="24"/>
          <w:szCs w:val="24"/>
        </w:rPr>
      </w:pPr>
    </w:p>
    <w:p w:rsidR="003219AF" w:rsidRPr="00126E99" w:rsidRDefault="0083734A" w:rsidP="00534575">
      <w:pPr>
        <w:pStyle w:val="NoSpacing"/>
        <w:numPr>
          <w:ilvl w:val="0"/>
          <w:numId w:val="21"/>
        </w:numPr>
        <w:spacing w:before="240" w:line="276" w:lineRule="auto"/>
        <w:jc w:val="center"/>
        <w:rPr>
          <w:rFonts w:ascii="Times New Roman" w:hAnsi="Times New Roman"/>
          <w:b/>
          <w:sz w:val="20"/>
          <w:szCs w:val="20"/>
        </w:rPr>
      </w:pPr>
      <w:r w:rsidRPr="00126E99">
        <w:rPr>
          <w:rFonts w:ascii="Times New Roman" w:hAnsi="Times New Roman"/>
          <w:b/>
          <w:sz w:val="20"/>
          <w:szCs w:val="20"/>
        </w:rPr>
        <w:lastRenderedPageBreak/>
        <w:t xml:space="preserve">RESULTS &amp; </w:t>
      </w:r>
      <w:r w:rsidR="001D5CC1" w:rsidRPr="00126E99">
        <w:rPr>
          <w:rFonts w:ascii="Times New Roman" w:hAnsi="Times New Roman"/>
          <w:b/>
          <w:sz w:val="20"/>
          <w:szCs w:val="20"/>
        </w:rPr>
        <w:t>DISCUSSIONS</w:t>
      </w:r>
    </w:p>
    <w:p w:rsidR="0083734A" w:rsidRPr="00534575" w:rsidRDefault="0083734A" w:rsidP="00534575">
      <w:pPr>
        <w:pStyle w:val="NoSpacing"/>
        <w:spacing w:line="276" w:lineRule="auto"/>
        <w:jc w:val="both"/>
        <w:rPr>
          <w:rFonts w:ascii="Times New Roman" w:hAnsi="Times New Roman"/>
          <w:sz w:val="24"/>
          <w:szCs w:val="24"/>
        </w:rPr>
      </w:pPr>
    </w:p>
    <w:p w:rsidR="001D5CC1" w:rsidRPr="00126E99" w:rsidRDefault="001D5CC1" w:rsidP="00534575">
      <w:pPr>
        <w:pStyle w:val="NoSpacing"/>
        <w:spacing w:line="276" w:lineRule="auto"/>
        <w:jc w:val="both"/>
        <w:rPr>
          <w:rFonts w:ascii="Times New Roman" w:hAnsi="Times New Roman"/>
          <w:sz w:val="20"/>
          <w:szCs w:val="20"/>
        </w:rPr>
      </w:pPr>
      <w:r w:rsidRPr="00126E99">
        <w:rPr>
          <w:rFonts w:ascii="Times New Roman" w:hAnsi="Times New Roman"/>
          <w:sz w:val="20"/>
          <w:szCs w:val="20"/>
        </w:rPr>
        <w:t xml:space="preserve">The behavior of all the three framing systems is taken as a basic study on the modeled structure. The lateral drift/deflection ratio is checked against the clause 7.11.1 of IS-1893:2002 i.e. under transient seismic loads. Many parameters such as Nodal Deflection, Beam Shear &amp; Moments and Slab Stresses were considered to evaluate the safety of the structures. When found safe, the quantity of materials used was analyzed to present a comparison between the different frames. </w:t>
      </w:r>
      <w:r w:rsidR="001E3DD7" w:rsidRPr="00126E99">
        <w:rPr>
          <w:rFonts w:ascii="Times New Roman" w:hAnsi="Times New Roman"/>
          <w:sz w:val="20"/>
          <w:szCs w:val="20"/>
        </w:rPr>
        <w:t xml:space="preserve"> </w:t>
      </w:r>
      <w:r w:rsidR="00A51EFA" w:rsidRPr="00126E99">
        <w:rPr>
          <w:rFonts w:ascii="Times New Roman" w:hAnsi="Times New Roman"/>
          <w:sz w:val="20"/>
          <w:szCs w:val="20"/>
        </w:rPr>
        <w:t>T</w:t>
      </w:r>
      <w:r w:rsidRPr="00126E99">
        <w:rPr>
          <w:rFonts w:ascii="Times New Roman" w:hAnsi="Times New Roman"/>
          <w:sz w:val="20"/>
          <w:szCs w:val="20"/>
        </w:rPr>
        <w:t xml:space="preserve">he approximate cost of materials can be calculated to give us an idea about the suitability of each model. </w:t>
      </w:r>
    </w:p>
    <w:p w:rsidR="004E0073" w:rsidRDefault="004E0073" w:rsidP="004E0073">
      <w:pPr>
        <w:pStyle w:val="NoSpacing"/>
        <w:spacing w:line="276" w:lineRule="auto"/>
        <w:jc w:val="center"/>
        <w:rPr>
          <w:rFonts w:ascii="Times New Roman" w:hAnsi="Times New Roman"/>
          <w:sz w:val="24"/>
          <w:szCs w:val="24"/>
        </w:rPr>
      </w:pPr>
      <w:r w:rsidRPr="004E0073">
        <w:rPr>
          <w:rFonts w:ascii="Times New Roman" w:hAnsi="Times New Roman"/>
          <w:noProof/>
          <w:sz w:val="24"/>
          <w:szCs w:val="24"/>
          <w:lang w:val="en-IN" w:eastAsia="en-IN"/>
        </w:rPr>
        <w:drawing>
          <wp:inline distT="0" distB="0" distL="0" distR="0">
            <wp:extent cx="4676775" cy="2162175"/>
            <wp:effectExtent l="1905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E0073" w:rsidRPr="00126E99" w:rsidRDefault="004E0073" w:rsidP="004E0073">
      <w:pPr>
        <w:pStyle w:val="NoSpacing"/>
        <w:spacing w:line="276" w:lineRule="auto"/>
        <w:jc w:val="center"/>
        <w:rPr>
          <w:rFonts w:ascii="Times New Roman" w:eastAsiaTheme="minorHAnsi" w:hAnsi="Times New Roman"/>
          <w:sz w:val="20"/>
          <w:szCs w:val="20"/>
        </w:rPr>
      </w:pPr>
      <w:r w:rsidRPr="00126E99">
        <w:rPr>
          <w:rFonts w:ascii="Times New Roman" w:hAnsi="Times New Roman"/>
          <w:sz w:val="20"/>
          <w:szCs w:val="20"/>
        </w:rPr>
        <w:t xml:space="preserve">Fig. 4 – </w:t>
      </w:r>
      <w:r w:rsidRPr="00126E99">
        <w:rPr>
          <w:rFonts w:ascii="Times New Roman" w:eastAsiaTheme="minorHAnsi" w:hAnsi="Times New Roman"/>
          <w:sz w:val="20"/>
          <w:szCs w:val="20"/>
        </w:rPr>
        <w:t>Frequency Comparison</w:t>
      </w:r>
    </w:p>
    <w:p w:rsidR="004E0073" w:rsidRDefault="004E0073" w:rsidP="004E0073">
      <w:pPr>
        <w:pStyle w:val="NoSpacing"/>
        <w:spacing w:line="276" w:lineRule="auto"/>
        <w:jc w:val="center"/>
        <w:rPr>
          <w:rFonts w:ascii="Times New Roman" w:hAnsi="Times New Roman"/>
          <w:sz w:val="24"/>
          <w:szCs w:val="24"/>
        </w:rPr>
      </w:pPr>
      <w:r w:rsidRPr="004E0073">
        <w:rPr>
          <w:rFonts w:ascii="Times New Roman" w:eastAsiaTheme="minorHAnsi" w:hAnsi="Times New Roman"/>
          <w:noProof/>
          <w:sz w:val="24"/>
          <w:szCs w:val="24"/>
          <w:lang w:val="en-IN" w:eastAsia="en-IN"/>
        </w:rPr>
        <w:drawing>
          <wp:inline distT="0" distB="0" distL="0" distR="0">
            <wp:extent cx="4523740" cy="2266950"/>
            <wp:effectExtent l="19050" t="0" r="10160" b="0"/>
            <wp:docPr id="1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E0073" w:rsidRPr="00126E99" w:rsidRDefault="004E0073" w:rsidP="004E0073">
      <w:pPr>
        <w:pStyle w:val="NoSpacing"/>
        <w:spacing w:line="276" w:lineRule="auto"/>
        <w:jc w:val="center"/>
        <w:rPr>
          <w:rFonts w:ascii="Times New Roman" w:eastAsiaTheme="minorHAnsi" w:hAnsi="Times New Roman"/>
          <w:sz w:val="20"/>
          <w:szCs w:val="20"/>
        </w:rPr>
      </w:pPr>
      <w:r w:rsidRPr="00126E99">
        <w:rPr>
          <w:rFonts w:ascii="Times New Roman" w:hAnsi="Times New Roman"/>
          <w:sz w:val="20"/>
          <w:szCs w:val="20"/>
        </w:rPr>
        <w:t xml:space="preserve">Fig. 5 – </w:t>
      </w:r>
      <w:r w:rsidRPr="00126E99">
        <w:rPr>
          <w:rFonts w:ascii="Times New Roman" w:eastAsiaTheme="minorHAnsi" w:hAnsi="Times New Roman"/>
          <w:sz w:val="20"/>
          <w:szCs w:val="20"/>
        </w:rPr>
        <w:t>Time Period Comparison</w:t>
      </w:r>
    </w:p>
    <w:p w:rsidR="00E40BBD" w:rsidRDefault="00E40BBD" w:rsidP="004E0073">
      <w:pPr>
        <w:pStyle w:val="NoSpacing"/>
        <w:spacing w:line="276" w:lineRule="auto"/>
        <w:jc w:val="center"/>
        <w:rPr>
          <w:rFonts w:ascii="Times New Roman" w:hAnsi="Times New Roman"/>
          <w:sz w:val="24"/>
          <w:szCs w:val="24"/>
        </w:rPr>
      </w:pPr>
      <w:r w:rsidRPr="00E40BBD">
        <w:rPr>
          <w:rFonts w:ascii="Times New Roman" w:eastAsiaTheme="minorHAnsi" w:hAnsi="Times New Roman"/>
          <w:noProof/>
          <w:sz w:val="24"/>
          <w:szCs w:val="24"/>
          <w:lang w:val="en-IN" w:eastAsia="en-IN"/>
        </w:rPr>
        <w:lastRenderedPageBreak/>
        <w:drawing>
          <wp:inline distT="0" distB="0" distL="0" distR="0">
            <wp:extent cx="4552950" cy="2228850"/>
            <wp:effectExtent l="19050" t="0" r="1905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40BBD" w:rsidRPr="00126E99" w:rsidRDefault="00E40BBD" w:rsidP="004E0073">
      <w:pPr>
        <w:pStyle w:val="NoSpacing"/>
        <w:spacing w:line="276" w:lineRule="auto"/>
        <w:jc w:val="center"/>
        <w:rPr>
          <w:rFonts w:ascii="Times New Roman" w:eastAsiaTheme="minorHAnsi" w:hAnsi="Times New Roman"/>
          <w:sz w:val="20"/>
          <w:szCs w:val="20"/>
        </w:rPr>
      </w:pPr>
      <w:r w:rsidRPr="00126E99">
        <w:rPr>
          <w:rFonts w:ascii="Times New Roman" w:hAnsi="Times New Roman"/>
          <w:sz w:val="20"/>
          <w:szCs w:val="20"/>
        </w:rPr>
        <w:t xml:space="preserve">Fig. 6 – </w:t>
      </w:r>
      <w:r w:rsidRPr="00126E99">
        <w:rPr>
          <w:rFonts w:ascii="Times New Roman" w:eastAsiaTheme="minorHAnsi" w:hAnsi="Times New Roman"/>
          <w:sz w:val="20"/>
          <w:szCs w:val="20"/>
        </w:rPr>
        <w:t>Storey Shear Comparison</w:t>
      </w:r>
    </w:p>
    <w:p w:rsidR="00E40BBD" w:rsidRDefault="00E40BBD" w:rsidP="004E0073">
      <w:pPr>
        <w:pStyle w:val="NoSpacing"/>
        <w:spacing w:line="276" w:lineRule="auto"/>
        <w:jc w:val="center"/>
        <w:rPr>
          <w:rFonts w:ascii="Times New Roman" w:hAnsi="Times New Roman"/>
          <w:sz w:val="24"/>
          <w:szCs w:val="24"/>
        </w:rPr>
      </w:pPr>
      <w:r w:rsidRPr="00E40BBD">
        <w:rPr>
          <w:rFonts w:ascii="Times New Roman" w:hAnsi="Times New Roman"/>
          <w:noProof/>
          <w:sz w:val="24"/>
          <w:szCs w:val="24"/>
          <w:lang w:val="en-IN" w:eastAsia="en-IN"/>
        </w:rPr>
        <w:drawing>
          <wp:inline distT="0" distB="0" distL="0" distR="0">
            <wp:extent cx="4619625" cy="2338705"/>
            <wp:effectExtent l="19050" t="0" r="9525" b="4445"/>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40BBD" w:rsidRPr="00126E99" w:rsidRDefault="00E40BBD" w:rsidP="004E0073">
      <w:pPr>
        <w:pStyle w:val="NoSpacing"/>
        <w:spacing w:line="276" w:lineRule="auto"/>
        <w:jc w:val="center"/>
        <w:rPr>
          <w:rFonts w:ascii="Times New Roman" w:hAnsi="Times New Roman"/>
          <w:sz w:val="20"/>
          <w:szCs w:val="20"/>
        </w:rPr>
      </w:pPr>
      <w:r w:rsidRPr="00126E99">
        <w:rPr>
          <w:rFonts w:ascii="Times New Roman" w:hAnsi="Times New Roman"/>
          <w:sz w:val="20"/>
          <w:szCs w:val="20"/>
        </w:rPr>
        <w:t xml:space="preserve">Fig. 7 </w:t>
      </w:r>
      <w:r w:rsidRPr="00126E99">
        <w:rPr>
          <w:rFonts w:ascii="Times New Roman" w:eastAsiaTheme="minorHAnsi" w:hAnsi="Times New Roman"/>
          <w:sz w:val="20"/>
          <w:szCs w:val="20"/>
        </w:rPr>
        <w:t>–</w:t>
      </w:r>
      <w:r w:rsidRPr="00126E99">
        <w:rPr>
          <w:rFonts w:ascii="Times New Roman" w:hAnsi="Times New Roman"/>
          <w:sz w:val="20"/>
          <w:szCs w:val="20"/>
        </w:rPr>
        <w:t xml:space="preserve"> Top Storey Displacement Comparison</w:t>
      </w:r>
    </w:p>
    <w:p w:rsidR="00E40BBD" w:rsidRDefault="00365C93" w:rsidP="00365C93">
      <w:pPr>
        <w:pStyle w:val="NoSpacing"/>
        <w:spacing w:line="276" w:lineRule="auto"/>
        <w:rPr>
          <w:rFonts w:ascii="Times New Roman" w:hAnsi="Times New Roman"/>
          <w:sz w:val="24"/>
          <w:szCs w:val="24"/>
        </w:rPr>
      </w:pPr>
      <w:r>
        <w:rPr>
          <w:rFonts w:ascii="Times New Roman" w:hAnsi="Times New Roman"/>
          <w:sz w:val="24"/>
          <w:szCs w:val="24"/>
        </w:rPr>
        <w:t xml:space="preserve">              </w:t>
      </w:r>
      <w:r w:rsidR="00E40BBD" w:rsidRPr="00E40BBD">
        <w:rPr>
          <w:rFonts w:ascii="Times New Roman" w:hAnsi="Times New Roman"/>
          <w:noProof/>
          <w:sz w:val="24"/>
          <w:lang w:val="en-IN" w:eastAsia="en-IN"/>
        </w:rPr>
        <w:drawing>
          <wp:inline distT="0" distB="0" distL="0" distR="0">
            <wp:extent cx="3834898" cy="281098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3836853" cy="2812413"/>
                    </a:xfrm>
                    <a:prstGeom prst="rect">
                      <a:avLst/>
                    </a:prstGeom>
                    <a:noFill/>
                    <a:ln w="9525">
                      <a:noFill/>
                      <a:miter lim="800000"/>
                      <a:headEnd/>
                      <a:tailEnd/>
                    </a:ln>
                  </pic:spPr>
                </pic:pic>
              </a:graphicData>
            </a:graphic>
          </wp:inline>
        </w:drawing>
      </w:r>
    </w:p>
    <w:p w:rsidR="00E40BBD" w:rsidRPr="00126E99" w:rsidRDefault="00365C93" w:rsidP="00365C93">
      <w:pPr>
        <w:pStyle w:val="NoSpacing"/>
        <w:spacing w:line="276" w:lineRule="auto"/>
        <w:rPr>
          <w:rFonts w:ascii="Times New Roman" w:hAnsi="Times New Roman"/>
          <w:sz w:val="20"/>
          <w:szCs w:val="20"/>
        </w:rPr>
      </w:pPr>
      <w:r>
        <w:rPr>
          <w:rFonts w:ascii="Times New Roman" w:hAnsi="Times New Roman"/>
          <w:sz w:val="20"/>
          <w:szCs w:val="20"/>
        </w:rPr>
        <w:t xml:space="preserve">                                                         </w:t>
      </w:r>
      <w:r w:rsidR="00E40BBD" w:rsidRPr="00126E99">
        <w:rPr>
          <w:rFonts w:ascii="Times New Roman" w:hAnsi="Times New Roman"/>
          <w:sz w:val="20"/>
          <w:szCs w:val="20"/>
        </w:rPr>
        <w:t>Fig. 8</w:t>
      </w:r>
      <w:r w:rsidR="00E40BBD" w:rsidRPr="00126E99">
        <w:rPr>
          <w:rFonts w:ascii="Times New Roman" w:eastAsiaTheme="minorHAnsi" w:hAnsi="Times New Roman"/>
          <w:sz w:val="20"/>
          <w:szCs w:val="20"/>
        </w:rPr>
        <w:t xml:space="preserve"> – Storey Drift Comparison</w:t>
      </w:r>
    </w:p>
    <w:p w:rsidR="00535D24" w:rsidRPr="00126E99" w:rsidRDefault="00535D24" w:rsidP="00365C93">
      <w:pPr>
        <w:spacing w:line="240" w:lineRule="auto"/>
        <w:jc w:val="both"/>
        <w:rPr>
          <w:rFonts w:ascii="Times New Roman" w:hAnsi="Times New Roman" w:cs="Times New Roman"/>
          <w:b/>
          <w:sz w:val="20"/>
          <w:szCs w:val="20"/>
        </w:rPr>
      </w:pPr>
      <w:r w:rsidRPr="00126E99">
        <w:rPr>
          <w:rFonts w:ascii="Times New Roman" w:hAnsi="Times New Roman" w:cs="Times New Roman"/>
          <w:sz w:val="20"/>
          <w:szCs w:val="20"/>
        </w:rPr>
        <w:lastRenderedPageBreak/>
        <w:t>The following figure shows the areas of stress concentration in the various models. The maximum stresses are occurring at the bottom ring beam (indicated by red) whereas minimum stresses are occurring at the centre of the bottom dome and at the top dome (indicated by purple).</w:t>
      </w:r>
    </w:p>
    <w:p w:rsidR="00535D24" w:rsidRPr="00534575" w:rsidRDefault="00535D24" w:rsidP="00365C93">
      <w:pPr>
        <w:spacing w:after="0"/>
        <w:jc w:val="center"/>
        <w:rPr>
          <w:rFonts w:ascii="Times New Roman" w:hAnsi="Times New Roman" w:cs="Times New Roman"/>
          <w:b/>
          <w:sz w:val="24"/>
          <w:szCs w:val="24"/>
        </w:rPr>
      </w:pPr>
      <w:r w:rsidRPr="00534575">
        <w:rPr>
          <w:rFonts w:ascii="Times New Roman" w:hAnsi="Times New Roman" w:cs="Times New Roman"/>
          <w:b/>
          <w:noProof/>
          <w:sz w:val="24"/>
          <w:szCs w:val="24"/>
          <w:lang w:val="en-IN" w:eastAsia="en-IN"/>
        </w:rPr>
        <w:drawing>
          <wp:inline distT="0" distB="0" distL="0" distR="0">
            <wp:extent cx="3421743" cy="4191000"/>
            <wp:effectExtent l="19050" t="0" r="7257" b="0"/>
            <wp:docPr id="4"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1" cstate="print"/>
                    <a:stretch>
                      <a:fillRect/>
                    </a:stretch>
                  </pic:blipFill>
                  <pic:spPr>
                    <a:xfrm>
                      <a:off x="0" y="0"/>
                      <a:ext cx="3427671" cy="4198261"/>
                    </a:xfrm>
                    <a:prstGeom prst="rect">
                      <a:avLst/>
                    </a:prstGeom>
                  </pic:spPr>
                </pic:pic>
              </a:graphicData>
            </a:graphic>
          </wp:inline>
        </w:drawing>
      </w:r>
    </w:p>
    <w:p w:rsidR="001E3DD7" w:rsidRPr="00534575" w:rsidRDefault="00535D24" w:rsidP="00534575">
      <w:pPr>
        <w:jc w:val="center"/>
        <w:rPr>
          <w:rFonts w:ascii="Times New Roman" w:hAnsi="Times New Roman" w:cs="Times New Roman"/>
          <w:b/>
          <w:sz w:val="24"/>
          <w:szCs w:val="24"/>
        </w:rPr>
      </w:pPr>
      <w:r w:rsidRPr="00126E99">
        <w:rPr>
          <w:rFonts w:ascii="Times New Roman" w:hAnsi="Times New Roman"/>
          <w:sz w:val="20"/>
          <w:szCs w:val="20"/>
        </w:rPr>
        <w:t>Fig.9 – Stress in Water tanks</w:t>
      </w:r>
      <w:r w:rsidR="001D5CC1" w:rsidRPr="00534575">
        <w:rPr>
          <w:rFonts w:ascii="Times New Roman" w:hAnsi="Times New Roman" w:cs="Times New Roman"/>
          <w:b/>
          <w:noProof/>
          <w:sz w:val="24"/>
          <w:szCs w:val="24"/>
          <w:lang w:val="en-IN" w:eastAsia="en-IN"/>
        </w:rPr>
        <w:drawing>
          <wp:inline distT="0" distB="0" distL="0" distR="0">
            <wp:extent cx="4552950" cy="2828925"/>
            <wp:effectExtent l="19050" t="0" r="19050" b="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E3DD7" w:rsidRPr="00126E99" w:rsidRDefault="001E3DD7" w:rsidP="00534575">
      <w:pPr>
        <w:jc w:val="center"/>
        <w:rPr>
          <w:rFonts w:ascii="Times New Roman" w:hAnsi="Times New Roman" w:cs="Times New Roman"/>
          <w:b/>
          <w:sz w:val="20"/>
          <w:szCs w:val="20"/>
        </w:rPr>
      </w:pPr>
      <w:r w:rsidRPr="00126E99">
        <w:rPr>
          <w:rFonts w:ascii="Times New Roman" w:hAnsi="Times New Roman"/>
          <w:sz w:val="20"/>
          <w:szCs w:val="20"/>
        </w:rPr>
        <w:t>Fig.</w:t>
      </w:r>
      <w:r w:rsidR="00535D24" w:rsidRPr="00126E99">
        <w:rPr>
          <w:rFonts w:ascii="Times New Roman" w:hAnsi="Times New Roman"/>
          <w:sz w:val="20"/>
          <w:szCs w:val="20"/>
        </w:rPr>
        <w:t xml:space="preserve"> 10</w:t>
      </w:r>
      <w:r w:rsidRPr="00126E99">
        <w:rPr>
          <w:rFonts w:ascii="Times New Roman" w:hAnsi="Times New Roman"/>
          <w:sz w:val="20"/>
          <w:szCs w:val="20"/>
        </w:rPr>
        <w:t xml:space="preserve"> – Cost of Materials</w:t>
      </w:r>
    </w:p>
    <w:p w:rsidR="004E0073" w:rsidRPr="00126E99" w:rsidRDefault="004E0073" w:rsidP="00534575">
      <w:pPr>
        <w:jc w:val="both"/>
        <w:rPr>
          <w:rFonts w:ascii="Times New Roman" w:hAnsi="Times New Roman" w:cs="Times New Roman"/>
          <w:sz w:val="20"/>
          <w:szCs w:val="20"/>
        </w:rPr>
      </w:pPr>
      <w:r w:rsidRPr="00126E99">
        <w:rPr>
          <w:rFonts w:ascii="Times New Roman" w:hAnsi="Times New Roman"/>
          <w:sz w:val="20"/>
          <w:szCs w:val="20"/>
        </w:rPr>
        <w:lastRenderedPageBreak/>
        <w:t>The basic cost of materials is taken as INR 5000/- per cum. of Concrete and INR 50/- per kg. of Steel. It is clear that the initial cost of structure with larger diameters will be comparatively higher but this high initial cost can be justified because of the low height which leads to better stability against wind and seismic loads.</w:t>
      </w:r>
    </w:p>
    <w:p w:rsidR="001D5CC1" w:rsidRPr="00126E99" w:rsidRDefault="001D5CC1" w:rsidP="00534575">
      <w:pPr>
        <w:jc w:val="both"/>
        <w:rPr>
          <w:rFonts w:ascii="Times New Roman" w:hAnsi="Times New Roman" w:cs="Times New Roman"/>
          <w:sz w:val="20"/>
          <w:szCs w:val="20"/>
        </w:rPr>
      </w:pPr>
      <w:r w:rsidRPr="00126E99">
        <w:rPr>
          <w:rFonts w:ascii="Times New Roman" w:hAnsi="Times New Roman" w:cs="Times New Roman"/>
          <w:sz w:val="20"/>
          <w:szCs w:val="20"/>
        </w:rPr>
        <w:t>It is clear to all that the loading hazards have to be carefully evaluated before the construction of important and high-rise structures such as overhead water tanks. Based on the above analytical study carried out on 6 different models with different diameters and heights, the following deductions are made:</w:t>
      </w:r>
    </w:p>
    <w:p w:rsidR="001D5CC1" w:rsidRPr="00126E99" w:rsidRDefault="001D5CC1" w:rsidP="00534575">
      <w:pPr>
        <w:numPr>
          <w:ilvl w:val="0"/>
          <w:numId w:val="37"/>
        </w:numPr>
        <w:ind w:left="360"/>
        <w:jc w:val="both"/>
        <w:rPr>
          <w:rFonts w:ascii="Times New Roman" w:hAnsi="Times New Roman" w:cs="Times New Roman"/>
          <w:sz w:val="20"/>
          <w:szCs w:val="20"/>
        </w:rPr>
      </w:pPr>
      <w:r w:rsidRPr="00126E99">
        <w:rPr>
          <w:rFonts w:ascii="Times New Roman" w:hAnsi="Times New Roman" w:cs="Times New Roman"/>
          <w:sz w:val="20"/>
          <w:szCs w:val="20"/>
        </w:rPr>
        <w:t xml:space="preserve">For the same capacity of tank, there </w:t>
      </w:r>
      <w:r w:rsidR="00126E99" w:rsidRPr="00126E99">
        <w:rPr>
          <w:rFonts w:ascii="Times New Roman" w:hAnsi="Times New Roman" w:cs="Times New Roman"/>
          <w:sz w:val="20"/>
          <w:szCs w:val="20"/>
        </w:rPr>
        <w:t>exists innumerous number</w:t>
      </w:r>
      <w:r w:rsidRPr="00126E99">
        <w:rPr>
          <w:rFonts w:ascii="Times New Roman" w:hAnsi="Times New Roman" w:cs="Times New Roman"/>
          <w:sz w:val="20"/>
          <w:szCs w:val="20"/>
        </w:rPr>
        <w:t xml:space="preserve"> of possibilities of height and diameter combination for the tank.</w:t>
      </w:r>
    </w:p>
    <w:p w:rsidR="001D5CC1" w:rsidRPr="00126E99" w:rsidRDefault="001D5CC1" w:rsidP="00534575">
      <w:pPr>
        <w:numPr>
          <w:ilvl w:val="0"/>
          <w:numId w:val="37"/>
        </w:numPr>
        <w:ind w:left="360"/>
        <w:jc w:val="both"/>
        <w:rPr>
          <w:rFonts w:ascii="Times New Roman" w:hAnsi="Times New Roman" w:cs="Times New Roman"/>
          <w:sz w:val="20"/>
          <w:szCs w:val="20"/>
        </w:rPr>
      </w:pPr>
      <w:r w:rsidRPr="00126E99">
        <w:rPr>
          <w:rFonts w:ascii="Times New Roman" w:hAnsi="Times New Roman" w:cs="Times New Roman"/>
          <w:sz w:val="20"/>
          <w:szCs w:val="20"/>
        </w:rPr>
        <w:t>In all the cases, the diameter was linearly decreased by an amount of 0.2m starting from 10m. It was seen that tanks with larger diameters have smaller heights and thus cover a larger ground span..</w:t>
      </w:r>
    </w:p>
    <w:p w:rsidR="001D5CC1" w:rsidRPr="00126E99" w:rsidRDefault="001D5CC1" w:rsidP="00534575">
      <w:pPr>
        <w:numPr>
          <w:ilvl w:val="0"/>
          <w:numId w:val="37"/>
        </w:numPr>
        <w:ind w:left="360"/>
        <w:jc w:val="both"/>
        <w:rPr>
          <w:rFonts w:ascii="Times New Roman" w:hAnsi="Times New Roman" w:cs="Times New Roman"/>
          <w:sz w:val="20"/>
          <w:szCs w:val="20"/>
        </w:rPr>
      </w:pPr>
      <w:r w:rsidRPr="00126E99">
        <w:rPr>
          <w:rFonts w:ascii="Times New Roman" w:hAnsi="Times New Roman" w:cs="Times New Roman"/>
          <w:sz w:val="20"/>
          <w:szCs w:val="20"/>
        </w:rPr>
        <w:t>The tanks with smaller diameters generally require lesser volume of concrete. However a linear relationship does not exist between the readings..</w:t>
      </w:r>
    </w:p>
    <w:p w:rsidR="001D5CC1" w:rsidRPr="00126E99" w:rsidRDefault="001D5CC1" w:rsidP="00534575">
      <w:pPr>
        <w:numPr>
          <w:ilvl w:val="0"/>
          <w:numId w:val="37"/>
        </w:numPr>
        <w:ind w:left="360"/>
        <w:jc w:val="both"/>
        <w:rPr>
          <w:rFonts w:ascii="Times New Roman" w:hAnsi="Times New Roman" w:cs="Times New Roman"/>
          <w:sz w:val="20"/>
          <w:szCs w:val="20"/>
        </w:rPr>
      </w:pPr>
      <w:r w:rsidRPr="00126E99">
        <w:rPr>
          <w:rFonts w:ascii="Times New Roman" w:hAnsi="Times New Roman" w:cs="Times New Roman"/>
          <w:sz w:val="20"/>
          <w:szCs w:val="20"/>
        </w:rPr>
        <w:t>The volume of steel was observed to be higher in cases of tanks having smaller diameter.</w:t>
      </w:r>
    </w:p>
    <w:p w:rsidR="001D5CC1" w:rsidRDefault="001D5CC1" w:rsidP="00534575">
      <w:pPr>
        <w:numPr>
          <w:ilvl w:val="0"/>
          <w:numId w:val="37"/>
        </w:numPr>
        <w:ind w:left="360"/>
        <w:jc w:val="both"/>
        <w:rPr>
          <w:rFonts w:ascii="Times New Roman" w:hAnsi="Times New Roman" w:cs="Times New Roman"/>
          <w:sz w:val="20"/>
          <w:szCs w:val="20"/>
        </w:rPr>
      </w:pPr>
      <w:r w:rsidRPr="00126E99">
        <w:rPr>
          <w:rFonts w:ascii="Times New Roman" w:hAnsi="Times New Roman" w:cs="Times New Roman"/>
          <w:sz w:val="20"/>
          <w:szCs w:val="20"/>
        </w:rPr>
        <w:t>In higher seismically active zone, the earthquake hazard will also increase. In such cases, further analysis will be required to accurately estimate the behaviour of the structure.</w:t>
      </w:r>
    </w:p>
    <w:p w:rsidR="00365C93" w:rsidRDefault="00365C93" w:rsidP="00365C93">
      <w:pPr>
        <w:ind w:left="360"/>
        <w:jc w:val="both"/>
        <w:rPr>
          <w:rFonts w:ascii="Times New Roman" w:hAnsi="Times New Roman" w:cs="Times New Roman"/>
          <w:sz w:val="20"/>
          <w:szCs w:val="20"/>
        </w:rPr>
      </w:pPr>
    </w:p>
    <w:p w:rsidR="00365C93" w:rsidRDefault="00365C93" w:rsidP="00365C93">
      <w:pPr>
        <w:pStyle w:val="NoSpacing"/>
        <w:spacing w:line="276" w:lineRule="auto"/>
        <w:ind w:left="720"/>
        <w:rPr>
          <w:rFonts w:ascii="Times New Roman" w:hAnsi="Times New Roman"/>
          <w:b/>
          <w:sz w:val="20"/>
          <w:szCs w:val="20"/>
        </w:rPr>
      </w:pPr>
    </w:p>
    <w:p w:rsidR="00A51EFA" w:rsidRDefault="00EF27C1" w:rsidP="00535D24">
      <w:pPr>
        <w:pStyle w:val="NoSpacing"/>
        <w:numPr>
          <w:ilvl w:val="0"/>
          <w:numId w:val="21"/>
        </w:numPr>
        <w:spacing w:line="276" w:lineRule="auto"/>
        <w:jc w:val="center"/>
        <w:rPr>
          <w:rFonts w:ascii="Times New Roman" w:hAnsi="Times New Roman"/>
          <w:b/>
          <w:sz w:val="20"/>
          <w:szCs w:val="20"/>
        </w:rPr>
      </w:pPr>
      <w:r w:rsidRPr="00126E99">
        <w:rPr>
          <w:rFonts w:ascii="Times New Roman" w:hAnsi="Times New Roman"/>
          <w:b/>
          <w:sz w:val="20"/>
          <w:szCs w:val="20"/>
        </w:rPr>
        <w:t>CONCLUSIONS</w:t>
      </w:r>
    </w:p>
    <w:p w:rsidR="00365C93" w:rsidRPr="00126E99" w:rsidRDefault="00365C93" w:rsidP="00365C93">
      <w:pPr>
        <w:pStyle w:val="NoSpacing"/>
        <w:spacing w:line="276" w:lineRule="auto"/>
        <w:ind w:left="720"/>
        <w:rPr>
          <w:rFonts w:ascii="Times New Roman" w:hAnsi="Times New Roman"/>
          <w:b/>
          <w:sz w:val="20"/>
          <w:szCs w:val="20"/>
        </w:rPr>
      </w:pPr>
    </w:p>
    <w:p w:rsidR="00B96524" w:rsidRPr="00126E99" w:rsidRDefault="00B96524" w:rsidP="00B96524">
      <w:pPr>
        <w:spacing w:before="240"/>
        <w:jc w:val="both"/>
        <w:rPr>
          <w:rFonts w:ascii="Times New Roman" w:hAnsi="Times New Roman" w:cs="Times New Roman"/>
          <w:sz w:val="20"/>
          <w:szCs w:val="20"/>
        </w:rPr>
      </w:pPr>
      <w:r w:rsidRPr="00126E99">
        <w:rPr>
          <w:rFonts w:ascii="Times New Roman" w:hAnsi="Times New Roman" w:cs="Times New Roman"/>
          <w:sz w:val="20"/>
          <w:szCs w:val="20"/>
        </w:rPr>
        <w:t>It is clear to all that the loading hazards have to be carefully evaluated before the construction of important and high-rise structures such as overhead water tanks. Based on the above analytical study carried out on 6 different models with different diameters and heights, the following deductions are made:</w:t>
      </w:r>
    </w:p>
    <w:p w:rsidR="00B96524" w:rsidRPr="00126E99" w:rsidRDefault="00B96524" w:rsidP="00B96524">
      <w:pPr>
        <w:pStyle w:val="ListParagraph"/>
        <w:numPr>
          <w:ilvl w:val="0"/>
          <w:numId w:val="43"/>
        </w:numPr>
        <w:spacing w:before="240"/>
        <w:ind w:left="360"/>
        <w:jc w:val="both"/>
        <w:rPr>
          <w:rFonts w:ascii="Times New Roman" w:hAnsi="Times New Roman" w:cs="Times New Roman"/>
          <w:sz w:val="20"/>
          <w:szCs w:val="20"/>
        </w:rPr>
      </w:pPr>
      <w:r w:rsidRPr="00126E99">
        <w:rPr>
          <w:rFonts w:ascii="Times New Roman" w:hAnsi="Times New Roman" w:cs="Times New Roman"/>
          <w:sz w:val="20"/>
          <w:szCs w:val="20"/>
        </w:rPr>
        <w:t xml:space="preserve">For the same capacity of tank, there </w:t>
      </w:r>
      <w:r w:rsidR="00126E99" w:rsidRPr="00126E99">
        <w:rPr>
          <w:rFonts w:ascii="Times New Roman" w:hAnsi="Times New Roman" w:cs="Times New Roman"/>
          <w:sz w:val="20"/>
          <w:szCs w:val="20"/>
        </w:rPr>
        <w:t>exists innumerous number</w:t>
      </w:r>
      <w:r w:rsidRPr="00126E99">
        <w:rPr>
          <w:rFonts w:ascii="Times New Roman" w:hAnsi="Times New Roman" w:cs="Times New Roman"/>
          <w:sz w:val="20"/>
          <w:szCs w:val="20"/>
        </w:rPr>
        <w:t xml:space="preserve"> of possibilities of height and diameter combination for the tank.</w:t>
      </w:r>
    </w:p>
    <w:p w:rsidR="00B96524" w:rsidRPr="00126E99" w:rsidRDefault="00B96524" w:rsidP="00B96524">
      <w:pPr>
        <w:pStyle w:val="ListParagraph"/>
        <w:numPr>
          <w:ilvl w:val="0"/>
          <w:numId w:val="42"/>
        </w:numPr>
        <w:spacing w:before="240"/>
        <w:ind w:left="360"/>
        <w:jc w:val="both"/>
        <w:rPr>
          <w:rFonts w:ascii="Times New Roman" w:hAnsi="Times New Roman" w:cs="Times New Roman"/>
          <w:sz w:val="20"/>
          <w:szCs w:val="20"/>
        </w:rPr>
      </w:pPr>
      <w:r w:rsidRPr="00126E99">
        <w:rPr>
          <w:rFonts w:ascii="Times New Roman" w:hAnsi="Times New Roman" w:cs="Times New Roman"/>
          <w:sz w:val="20"/>
          <w:szCs w:val="20"/>
        </w:rPr>
        <w:t>In all the cases, the diameter was linearly decreased by an amount of 0.2m starting from 10m. It was seen that tanks with larger diameters have smaller heights and thus cover a larger ground span..</w:t>
      </w:r>
    </w:p>
    <w:p w:rsidR="00B96524" w:rsidRPr="00126E99" w:rsidRDefault="00B96524" w:rsidP="00B96524">
      <w:pPr>
        <w:pStyle w:val="ListParagraph"/>
        <w:numPr>
          <w:ilvl w:val="0"/>
          <w:numId w:val="42"/>
        </w:numPr>
        <w:spacing w:before="240"/>
        <w:ind w:left="360"/>
        <w:jc w:val="both"/>
        <w:rPr>
          <w:rFonts w:ascii="Times New Roman" w:hAnsi="Times New Roman" w:cs="Times New Roman"/>
          <w:sz w:val="20"/>
          <w:szCs w:val="20"/>
        </w:rPr>
      </w:pPr>
      <w:r w:rsidRPr="00126E99">
        <w:rPr>
          <w:rFonts w:ascii="Times New Roman" w:hAnsi="Times New Roman" w:cs="Times New Roman"/>
          <w:sz w:val="20"/>
          <w:szCs w:val="20"/>
        </w:rPr>
        <w:t>The tanks with smaller diameters generally require lesser volume of concrete. However a linear relationship does not exist between the readings..</w:t>
      </w:r>
    </w:p>
    <w:p w:rsidR="00B96524" w:rsidRPr="00126E99" w:rsidRDefault="00B96524" w:rsidP="00B96524">
      <w:pPr>
        <w:pStyle w:val="ListParagraph"/>
        <w:numPr>
          <w:ilvl w:val="0"/>
          <w:numId w:val="42"/>
        </w:numPr>
        <w:spacing w:before="240"/>
        <w:ind w:left="360"/>
        <w:jc w:val="both"/>
        <w:rPr>
          <w:rFonts w:ascii="Times New Roman" w:hAnsi="Times New Roman" w:cs="Times New Roman"/>
          <w:sz w:val="20"/>
          <w:szCs w:val="20"/>
        </w:rPr>
      </w:pPr>
      <w:r w:rsidRPr="00126E99">
        <w:rPr>
          <w:rFonts w:ascii="Times New Roman" w:hAnsi="Times New Roman" w:cs="Times New Roman"/>
          <w:sz w:val="20"/>
          <w:szCs w:val="20"/>
        </w:rPr>
        <w:t>The volume of steel was observed to be higher in cases of tanks having smaller diameter.</w:t>
      </w:r>
    </w:p>
    <w:p w:rsidR="00B96524" w:rsidRPr="00126E99" w:rsidRDefault="00B96524" w:rsidP="00B96524">
      <w:pPr>
        <w:pStyle w:val="ListParagraph"/>
        <w:numPr>
          <w:ilvl w:val="0"/>
          <w:numId w:val="42"/>
        </w:numPr>
        <w:spacing w:before="240"/>
        <w:ind w:left="360"/>
        <w:jc w:val="both"/>
        <w:rPr>
          <w:rFonts w:ascii="Times New Roman" w:hAnsi="Times New Roman" w:cs="Times New Roman"/>
          <w:sz w:val="20"/>
          <w:szCs w:val="20"/>
        </w:rPr>
      </w:pPr>
      <w:r w:rsidRPr="00126E99">
        <w:rPr>
          <w:rFonts w:ascii="Times New Roman" w:hAnsi="Times New Roman" w:cs="Times New Roman"/>
          <w:sz w:val="20"/>
          <w:szCs w:val="20"/>
        </w:rPr>
        <w:t>In higher seismically active zone, the earthquake hazard will also increase. In such cases, further analysis will be required to accurately estimate the behaviour of the structure.</w:t>
      </w:r>
    </w:p>
    <w:p w:rsidR="00365C93" w:rsidRDefault="00A51EFA" w:rsidP="00365C93">
      <w:pPr>
        <w:spacing w:before="240"/>
        <w:jc w:val="both"/>
        <w:rPr>
          <w:rFonts w:ascii="Times New Roman" w:hAnsi="Times New Roman" w:cs="Times New Roman"/>
          <w:sz w:val="20"/>
          <w:szCs w:val="20"/>
        </w:rPr>
      </w:pPr>
      <w:r w:rsidRPr="00126E99">
        <w:rPr>
          <w:rFonts w:ascii="Times New Roman" w:hAnsi="Times New Roman" w:cs="Times New Roman"/>
          <w:sz w:val="20"/>
          <w:szCs w:val="20"/>
        </w:rPr>
        <w:t>The model Tank 4 showed the best results with minimum cost, INR 4.728 Lacs (approx.) leading us to conclude that H/D = 0.65 is the best. The height and diameter provided in this case are 6.11m and 9.40m respectively. Thus it can be said that the design opted for the construction of tank of 350 kL capacity at IGNOU, Telibagh, Lucknow was improper because the safe efficiency can be achieved more economically with the dimensions provided for Tank 4 as mentioned before.</w:t>
      </w:r>
    </w:p>
    <w:p w:rsidR="00365C93" w:rsidRDefault="00365C93" w:rsidP="00365C93">
      <w:pPr>
        <w:spacing w:before="240"/>
        <w:jc w:val="both"/>
        <w:rPr>
          <w:rFonts w:ascii="Times New Roman" w:hAnsi="Times New Roman" w:cs="Times New Roman"/>
          <w:sz w:val="20"/>
          <w:szCs w:val="20"/>
        </w:rPr>
      </w:pPr>
    </w:p>
    <w:p w:rsidR="00365C93" w:rsidRDefault="00365C93" w:rsidP="00365C93">
      <w:pPr>
        <w:spacing w:before="240"/>
        <w:jc w:val="both"/>
        <w:rPr>
          <w:rFonts w:ascii="Times New Roman" w:hAnsi="Times New Roman" w:cs="Times New Roman"/>
          <w:sz w:val="20"/>
          <w:szCs w:val="20"/>
        </w:rPr>
      </w:pPr>
    </w:p>
    <w:p w:rsidR="00365C93" w:rsidRDefault="00365C93" w:rsidP="00365C93">
      <w:pPr>
        <w:spacing w:before="240"/>
        <w:jc w:val="both"/>
        <w:rPr>
          <w:rFonts w:ascii="Times New Roman" w:hAnsi="Times New Roman" w:cs="Times New Roman"/>
          <w:sz w:val="20"/>
          <w:szCs w:val="20"/>
        </w:rPr>
      </w:pPr>
    </w:p>
    <w:p w:rsidR="008F74AD" w:rsidRPr="00365C93" w:rsidRDefault="00365C93" w:rsidP="00365C93">
      <w:pPr>
        <w:pStyle w:val="ListParagraph"/>
        <w:numPr>
          <w:ilvl w:val="0"/>
          <w:numId w:val="21"/>
        </w:numPr>
        <w:spacing w:before="240"/>
        <w:jc w:val="center"/>
        <w:rPr>
          <w:rFonts w:ascii="Times New Roman" w:hAnsi="Times New Roman" w:cs="Times New Roman"/>
          <w:sz w:val="20"/>
          <w:szCs w:val="20"/>
        </w:rPr>
      </w:pPr>
      <w:r>
        <w:rPr>
          <w:rFonts w:ascii="Times New Roman" w:hAnsi="Times New Roman" w:cs="Times New Roman"/>
          <w:b/>
          <w:sz w:val="20"/>
          <w:szCs w:val="20"/>
        </w:rPr>
        <w:t>REFERENCES</w:t>
      </w:r>
    </w:p>
    <w:p w:rsidR="00365C93" w:rsidRPr="00365C93" w:rsidRDefault="00365C93" w:rsidP="00365C93">
      <w:pPr>
        <w:spacing w:before="240"/>
        <w:jc w:val="center"/>
        <w:rPr>
          <w:rFonts w:ascii="Times New Roman" w:hAnsi="Times New Roman" w:cs="Times New Roman"/>
          <w:sz w:val="20"/>
          <w:szCs w:val="20"/>
        </w:rPr>
      </w:pP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Dr. S.V. Itti, Prof. A. Pathade, and R.B. Karadi, “A Comparative Study on Seismic Provisions made in Indian and International Building Codes for RC Buildings”.</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Ayazhussain M. Jabar and H. S. Patel, (2012) “Seismic Behavior of RC Elevated Water Tank under Different Staging Pattern and Earthquake Characteristics”. International journal of advanced engineering research and studies e-issn2249–8974, IJAERS/Vol. I/ Issue III/April-June, 2012/293-296.</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Jain Sudhir K., Sameer U.S., 1990, “Seismic Design of Frame Staging For Elevated Water Tank” Ninth Symposium on Earthquake Engineering (9SEE-90), Roorkey, December 14-16, Vol-1.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Durgesh C Rai, (2003) “Performance of Elevated Tanks in Mw 7.7 Bhuj Earthquake of January 26th, 2001” International Journal Of Advanced Engineering Research Proc. Indian Acad. Sci. (Earth Planet. Sci.), 112, No. 3, September 2003, pp. 421-429.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Ranjit Singh Lodhi &amp; Dr.Vivek Garg., (2014). “Design of Intze Tank in Perspective of Revision of IS: 3370, Vol.-03 Issue No.9, pp: 1193-1197.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Asari Falguni, Prof. M.G.Vanza, (2012) “Structural Control System for Elevated Water Tank” International journal of advanced engineering research and studies e-issn2249–8974, IJAERS/Vol. I/ Issue III/April-June, 2012/325-328.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Irwin P, Kilpatrick J and Frisque A (2008) “Friend or Foe, Wind Height”. CTBHU 8th World Congress.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Aatish Kumar., R.K.Pandey., 2013, “Wind Effects on Overhead Tank under Different Soil Parameters” IJEAT Vol.-2, No.-6.</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Hasan Jasim Mohammed,(2011) “Economical Design of Water Concrete Tanks” European journal of scientific research ISSN 1450-216x vol.49 no.4 (2011), pp. 510-520 Euro Journals Publishing, inc. 2011.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Arun Kumar, (2006) “Ductility Analysis of R.C.C.(O.H.T) Design as Per IS:3370(Part-II)” M-Tech Thesis.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Durgesh C. Rai and Bhumika Singh, (2004) “Seismic Design of Concrete Pedestal Supported Tanks”13th World Conference on Earthquake Engineering Vancouver, B.C, Canada August 1-6, 2004.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Sudhir K.Jain &amp; O.R.Jaiswal, September-2005, Journal of Structural Engineering Vol-32, No.03.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Luis A. Godoy, “Damage Due to Buckling in Above Ground Storage Tank”, University of Puerto Rico, Mayaguez, PR 00681-9041, Puerto Rico.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IS: 3370 (Part I - II) -2009, General Requirements, Code of Practice for Concrete Structures for the Storage of liquids.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IS: 3370 (Part IV) -1967, Design Tables, Code of Practice for Concrete Structures for the Storage of liquids.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IS: 875 (2002) “Code of Practice for Design Load” Bureau of Indian Standard, New Delhi. </w:t>
      </w:r>
    </w:p>
    <w:p w:rsidR="00A51EFA"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IS: 456 (2000) “Plain and Reinforced Concrete- Code for Practice” Bureau of Indian Standard, New Delhi. </w:t>
      </w:r>
    </w:p>
    <w:p w:rsidR="00E719E4" w:rsidRPr="00126E99" w:rsidRDefault="00A51EFA" w:rsidP="00534575">
      <w:pPr>
        <w:pStyle w:val="ListParagraph"/>
        <w:numPr>
          <w:ilvl w:val="0"/>
          <w:numId w:val="27"/>
        </w:numPr>
        <w:ind w:left="540" w:hanging="540"/>
        <w:jc w:val="both"/>
        <w:rPr>
          <w:rFonts w:ascii="Times New Roman" w:hAnsi="Times New Roman" w:cs="Times New Roman"/>
          <w:i/>
          <w:sz w:val="20"/>
          <w:szCs w:val="20"/>
        </w:rPr>
      </w:pPr>
      <w:r w:rsidRPr="00126E99">
        <w:rPr>
          <w:rFonts w:ascii="Times New Roman" w:hAnsi="Times New Roman" w:cs="Times New Roman"/>
          <w:i/>
          <w:sz w:val="20"/>
          <w:szCs w:val="20"/>
        </w:rPr>
        <w:t xml:space="preserve">STAAD Pro. v8i, SELECT Series 4 for analysis and design of models. </w:t>
      </w:r>
    </w:p>
    <w:sectPr w:rsidR="00E719E4" w:rsidRPr="00126E99" w:rsidSect="00534575">
      <w:type w:val="continuous"/>
      <w:pgSz w:w="12240" w:h="15840"/>
      <w:pgMar w:top="1440" w:right="1152"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2E0" w:rsidRDefault="008822E0" w:rsidP="001A236A">
      <w:pPr>
        <w:spacing w:after="0" w:line="240" w:lineRule="auto"/>
      </w:pPr>
      <w:r>
        <w:separator/>
      </w:r>
    </w:p>
  </w:endnote>
  <w:endnote w:type="continuationSeparator" w:id="1">
    <w:p w:rsidR="008822E0" w:rsidRDefault="008822E0" w:rsidP="001A2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59110"/>
      <w:docPartObj>
        <w:docPartGallery w:val="Page Numbers (Bottom of Page)"/>
        <w:docPartUnique/>
      </w:docPartObj>
    </w:sdtPr>
    <w:sdtContent>
      <w:p w:rsidR="006C2A43" w:rsidRDefault="00025E57">
        <w:pPr>
          <w:pStyle w:val="Footer"/>
          <w:jc w:val="right"/>
        </w:pPr>
        <w:fldSimple w:instr=" PAGE   \* MERGEFORMAT ">
          <w:r w:rsidR="008B2A8E">
            <w:rPr>
              <w:noProof/>
            </w:rPr>
            <w:t>1</w:t>
          </w:r>
        </w:fldSimple>
      </w:p>
    </w:sdtContent>
  </w:sdt>
  <w:p w:rsidR="006C2A43" w:rsidRDefault="006C2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2E0" w:rsidRDefault="008822E0" w:rsidP="001A236A">
      <w:pPr>
        <w:spacing w:after="0" w:line="240" w:lineRule="auto"/>
      </w:pPr>
      <w:r>
        <w:separator/>
      </w:r>
    </w:p>
  </w:footnote>
  <w:footnote w:type="continuationSeparator" w:id="1">
    <w:p w:rsidR="008822E0" w:rsidRDefault="008822E0" w:rsidP="001A23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38E4"/>
    <w:multiLevelType w:val="hybridMultilevel"/>
    <w:tmpl w:val="62C21A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A420F"/>
    <w:multiLevelType w:val="hybridMultilevel"/>
    <w:tmpl w:val="A5D2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41F88"/>
    <w:multiLevelType w:val="multilevel"/>
    <w:tmpl w:val="CADE30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6A2297"/>
    <w:multiLevelType w:val="hybridMultilevel"/>
    <w:tmpl w:val="DB20F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3344FE"/>
    <w:multiLevelType w:val="hybridMultilevel"/>
    <w:tmpl w:val="D4A8A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662D5"/>
    <w:multiLevelType w:val="hybridMultilevel"/>
    <w:tmpl w:val="C2FCED46"/>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nsid w:val="19B26A1D"/>
    <w:multiLevelType w:val="hybridMultilevel"/>
    <w:tmpl w:val="1AC0C13E"/>
    <w:lvl w:ilvl="0" w:tplc="87D8FB3E">
      <w:start w:val="1"/>
      <w:numFmt w:val="decimal"/>
      <w:lvlText w:val="[%1]"/>
      <w:lvlJc w:val="left"/>
      <w:pPr>
        <w:ind w:left="720" w:hanging="360"/>
      </w:pPr>
      <w:rPr>
        <w:rFonts w:hint="default"/>
      </w:rPr>
    </w:lvl>
    <w:lvl w:ilvl="1" w:tplc="7236FDE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A257A"/>
    <w:multiLevelType w:val="hybridMultilevel"/>
    <w:tmpl w:val="EEE2DDE8"/>
    <w:lvl w:ilvl="0" w:tplc="609007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666F12"/>
    <w:multiLevelType w:val="hybridMultilevel"/>
    <w:tmpl w:val="17DA7F0A"/>
    <w:lvl w:ilvl="0" w:tplc="E29C3F12">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nsid w:val="23F357F1"/>
    <w:multiLevelType w:val="hybridMultilevel"/>
    <w:tmpl w:val="FF60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087F6B"/>
    <w:multiLevelType w:val="hybridMultilevel"/>
    <w:tmpl w:val="4F72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41361"/>
    <w:multiLevelType w:val="hybridMultilevel"/>
    <w:tmpl w:val="61A6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D78DB"/>
    <w:multiLevelType w:val="hybridMultilevel"/>
    <w:tmpl w:val="55E21DB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nsid w:val="41284FF7"/>
    <w:multiLevelType w:val="hybridMultilevel"/>
    <w:tmpl w:val="E054A450"/>
    <w:lvl w:ilvl="0" w:tplc="790C655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310AEF"/>
    <w:multiLevelType w:val="hybridMultilevel"/>
    <w:tmpl w:val="45C6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B7931"/>
    <w:multiLevelType w:val="hybridMultilevel"/>
    <w:tmpl w:val="E054A450"/>
    <w:lvl w:ilvl="0" w:tplc="790C655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1775B2"/>
    <w:multiLevelType w:val="hybridMultilevel"/>
    <w:tmpl w:val="DD9EAAD6"/>
    <w:lvl w:ilvl="0" w:tplc="4D38CF1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F7254F"/>
    <w:multiLevelType w:val="hybridMultilevel"/>
    <w:tmpl w:val="E12E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434310"/>
    <w:multiLevelType w:val="hybridMultilevel"/>
    <w:tmpl w:val="DEBC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171D52"/>
    <w:multiLevelType w:val="hybridMultilevel"/>
    <w:tmpl w:val="D25ED6A4"/>
    <w:lvl w:ilvl="0" w:tplc="ED30EDEC">
      <w:start w:val="1"/>
      <w:numFmt w:val="decimal"/>
      <w:lvlText w:val="[%1]"/>
      <w:lvlJc w:val="left"/>
      <w:pPr>
        <w:ind w:left="720" w:hanging="360"/>
      </w:pPr>
      <w:rPr>
        <w:rFonts w:hint="default"/>
        <w:b w:val="0"/>
      </w:rPr>
    </w:lvl>
    <w:lvl w:ilvl="1" w:tplc="9AC639E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4C1DE7"/>
    <w:multiLevelType w:val="hybridMultilevel"/>
    <w:tmpl w:val="A774775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nsid w:val="56A4172B"/>
    <w:multiLevelType w:val="hybridMultilevel"/>
    <w:tmpl w:val="1A08EB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4418A"/>
    <w:multiLevelType w:val="hybridMultilevel"/>
    <w:tmpl w:val="1D70AA8A"/>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nsid w:val="577D1008"/>
    <w:multiLevelType w:val="hybridMultilevel"/>
    <w:tmpl w:val="7390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830390"/>
    <w:multiLevelType w:val="hybridMultilevel"/>
    <w:tmpl w:val="C85E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4472B3"/>
    <w:multiLevelType w:val="hybridMultilevel"/>
    <w:tmpl w:val="00FC2640"/>
    <w:lvl w:ilvl="0" w:tplc="6F8CE8D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D3164A8"/>
    <w:multiLevelType w:val="hybridMultilevel"/>
    <w:tmpl w:val="3746DA44"/>
    <w:lvl w:ilvl="0" w:tplc="8ADA49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611E75BF"/>
    <w:multiLevelType w:val="hybridMultilevel"/>
    <w:tmpl w:val="396A08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21A4E0B"/>
    <w:multiLevelType w:val="hybridMultilevel"/>
    <w:tmpl w:val="67745200"/>
    <w:lvl w:ilvl="0" w:tplc="FA762B32">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9">
    <w:nsid w:val="64DB01ED"/>
    <w:multiLevelType w:val="hybridMultilevel"/>
    <w:tmpl w:val="432083D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nsid w:val="68222909"/>
    <w:multiLevelType w:val="hybridMultilevel"/>
    <w:tmpl w:val="DF7C43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8D63904"/>
    <w:multiLevelType w:val="hybridMultilevel"/>
    <w:tmpl w:val="02A6F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DC672B"/>
    <w:multiLevelType w:val="multilevel"/>
    <w:tmpl w:val="3FBEB4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2B48D4"/>
    <w:multiLevelType w:val="hybridMultilevel"/>
    <w:tmpl w:val="67464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6B2749"/>
    <w:multiLevelType w:val="hybridMultilevel"/>
    <w:tmpl w:val="7BF6FC80"/>
    <w:lvl w:ilvl="0" w:tplc="40428A3A">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BF4CAC"/>
    <w:multiLevelType w:val="hybridMultilevel"/>
    <w:tmpl w:val="529C85BA"/>
    <w:lvl w:ilvl="0" w:tplc="1F22CB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136030D"/>
    <w:multiLevelType w:val="hybridMultilevel"/>
    <w:tmpl w:val="2A8EDE10"/>
    <w:lvl w:ilvl="0" w:tplc="91981328">
      <w:start w:val="1"/>
      <w:numFmt w:val="decimal"/>
      <w:lvlText w:val="Case [%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72917CE1"/>
    <w:multiLevelType w:val="hybridMultilevel"/>
    <w:tmpl w:val="2E34FF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76D10927"/>
    <w:multiLevelType w:val="hybridMultilevel"/>
    <w:tmpl w:val="A5D2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990AF1"/>
    <w:multiLevelType w:val="hybridMultilevel"/>
    <w:tmpl w:val="C3E47A2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8825A5F"/>
    <w:multiLevelType w:val="hybridMultilevel"/>
    <w:tmpl w:val="565A42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594874"/>
    <w:multiLevelType w:val="multilevel"/>
    <w:tmpl w:val="15D2880E"/>
    <w:lvl w:ilvl="0">
      <w:start w:val="1"/>
      <w:numFmt w:val="decimal"/>
      <w:lvlText w:val="%1."/>
      <w:lvlJc w:val="left"/>
      <w:pPr>
        <w:ind w:left="3525" w:hanging="360"/>
      </w:pPr>
      <w:rPr>
        <w:rFonts w:hint="default"/>
      </w:rPr>
    </w:lvl>
    <w:lvl w:ilvl="1">
      <w:start w:val="1"/>
      <w:numFmt w:val="decimal"/>
      <w:isLgl/>
      <w:lvlText w:val="%1.%2"/>
      <w:lvlJc w:val="left"/>
      <w:pPr>
        <w:ind w:left="3525" w:hanging="360"/>
      </w:pPr>
      <w:rPr>
        <w:rFonts w:hint="default"/>
      </w:rPr>
    </w:lvl>
    <w:lvl w:ilvl="2">
      <w:start w:val="1"/>
      <w:numFmt w:val="decimal"/>
      <w:isLgl/>
      <w:lvlText w:val="%1.%2.%3"/>
      <w:lvlJc w:val="left"/>
      <w:pPr>
        <w:ind w:left="3885" w:hanging="720"/>
      </w:pPr>
      <w:rPr>
        <w:rFonts w:hint="default"/>
      </w:rPr>
    </w:lvl>
    <w:lvl w:ilvl="3">
      <w:start w:val="1"/>
      <w:numFmt w:val="decimal"/>
      <w:isLgl/>
      <w:lvlText w:val="%1.%2.%3.%4"/>
      <w:lvlJc w:val="left"/>
      <w:pPr>
        <w:ind w:left="3885" w:hanging="72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4605" w:hanging="1440"/>
      </w:pPr>
      <w:rPr>
        <w:rFonts w:hint="default"/>
      </w:rPr>
    </w:lvl>
    <w:lvl w:ilvl="7">
      <w:start w:val="1"/>
      <w:numFmt w:val="decimal"/>
      <w:isLgl/>
      <w:lvlText w:val="%1.%2.%3.%4.%5.%6.%7.%8"/>
      <w:lvlJc w:val="left"/>
      <w:pPr>
        <w:ind w:left="4605" w:hanging="1440"/>
      </w:pPr>
      <w:rPr>
        <w:rFonts w:hint="default"/>
      </w:rPr>
    </w:lvl>
    <w:lvl w:ilvl="8">
      <w:start w:val="1"/>
      <w:numFmt w:val="decimal"/>
      <w:isLgl/>
      <w:lvlText w:val="%1.%2.%3.%4.%5.%6.%7.%8.%9"/>
      <w:lvlJc w:val="left"/>
      <w:pPr>
        <w:ind w:left="4965" w:hanging="1800"/>
      </w:pPr>
      <w:rPr>
        <w:rFonts w:hint="default"/>
      </w:rPr>
    </w:lvl>
  </w:abstractNum>
  <w:abstractNum w:abstractNumId="42">
    <w:nsid w:val="7D365CFA"/>
    <w:multiLevelType w:val="hybridMultilevel"/>
    <w:tmpl w:val="A5D2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5"/>
  </w:num>
  <w:num w:numId="3">
    <w:abstractNumId w:val="13"/>
  </w:num>
  <w:num w:numId="4">
    <w:abstractNumId w:val="4"/>
  </w:num>
  <w:num w:numId="5">
    <w:abstractNumId w:val="32"/>
  </w:num>
  <w:num w:numId="6">
    <w:abstractNumId w:val="26"/>
  </w:num>
  <w:num w:numId="7">
    <w:abstractNumId w:val="14"/>
  </w:num>
  <w:num w:numId="8">
    <w:abstractNumId w:val="9"/>
  </w:num>
  <w:num w:numId="9">
    <w:abstractNumId w:val="38"/>
  </w:num>
  <w:num w:numId="10">
    <w:abstractNumId w:val="1"/>
  </w:num>
  <w:num w:numId="11">
    <w:abstractNumId w:val="42"/>
  </w:num>
  <w:num w:numId="12">
    <w:abstractNumId w:val="5"/>
  </w:num>
  <w:num w:numId="13">
    <w:abstractNumId w:val="22"/>
  </w:num>
  <w:num w:numId="14">
    <w:abstractNumId w:val="20"/>
  </w:num>
  <w:num w:numId="15">
    <w:abstractNumId w:val="24"/>
  </w:num>
  <w:num w:numId="16">
    <w:abstractNumId w:val="12"/>
  </w:num>
  <w:num w:numId="17">
    <w:abstractNumId w:val="29"/>
  </w:num>
  <w:num w:numId="18">
    <w:abstractNumId w:val="39"/>
  </w:num>
  <w:num w:numId="19">
    <w:abstractNumId w:val="2"/>
  </w:num>
  <w:num w:numId="20">
    <w:abstractNumId w:val="18"/>
  </w:num>
  <w:num w:numId="21">
    <w:abstractNumId w:val="16"/>
  </w:num>
  <w:num w:numId="22">
    <w:abstractNumId w:val="3"/>
  </w:num>
  <w:num w:numId="23">
    <w:abstractNumId w:val="10"/>
  </w:num>
  <w:num w:numId="24">
    <w:abstractNumId w:val="27"/>
  </w:num>
  <w:num w:numId="25">
    <w:abstractNumId w:val="40"/>
  </w:num>
  <w:num w:numId="26">
    <w:abstractNumId w:val="35"/>
  </w:num>
  <w:num w:numId="27">
    <w:abstractNumId w:val="19"/>
  </w:num>
  <w:num w:numId="28">
    <w:abstractNumId w:val="28"/>
  </w:num>
  <w:num w:numId="29">
    <w:abstractNumId w:val="8"/>
  </w:num>
  <w:num w:numId="30">
    <w:abstractNumId w:val="7"/>
  </w:num>
  <w:num w:numId="31">
    <w:abstractNumId w:val="0"/>
  </w:num>
  <w:num w:numId="32">
    <w:abstractNumId w:val="30"/>
  </w:num>
  <w:num w:numId="33">
    <w:abstractNumId w:val="36"/>
  </w:num>
  <w:num w:numId="34">
    <w:abstractNumId w:val="25"/>
  </w:num>
  <w:num w:numId="35">
    <w:abstractNumId w:val="31"/>
  </w:num>
  <w:num w:numId="36">
    <w:abstractNumId w:val="21"/>
  </w:num>
  <w:num w:numId="37">
    <w:abstractNumId w:val="33"/>
  </w:num>
  <w:num w:numId="38">
    <w:abstractNumId w:val="6"/>
  </w:num>
  <w:num w:numId="39">
    <w:abstractNumId w:val="11"/>
  </w:num>
  <w:num w:numId="40">
    <w:abstractNumId w:val="34"/>
  </w:num>
  <w:num w:numId="41">
    <w:abstractNumId w:val="37"/>
  </w:num>
  <w:num w:numId="42">
    <w:abstractNumId w:val="2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070C"/>
    <w:rsid w:val="00002264"/>
    <w:rsid w:val="000063D6"/>
    <w:rsid w:val="000109E4"/>
    <w:rsid w:val="00011171"/>
    <w:rsid w:val="00015DCD"/>
    <w:rsid w:val="00016947"/>
    <w:rsid w:val="00025E57"/>
    <w:rsid w:val="00031363"/>
    <w:rsid w:val="00033BAF"/>
    <w:rsid w:val="00045E02"/>
    <w:rsid w:val="00061E15"/>
    <w:rsid w:val="0006505B"/>
    <w:rsid w:val="00065704"/>
    <w:rsid w:val="00085866"/>
    <w:rsid w:val="00092323"/>
    <w:rsid w:val="000A1BB5"/>
    <w:rsid w:val="000A773F"/>
    <w:rsid w:val="000C1E9D"/>
    <w:rsid w:val="000C347A"/>
    <w:rsid w:val="000C7468"/>
    <w:rsid w:val="000D2735"/>
    <w:rsid w:val="000E7791"/>
    <w:rsid w:val="00107747"/>
    <w:rsid w:val="00115C02"/>
    <w:rsid w:val="0012111A"/>
    <w:rsid w:val="00122C3B"/>
    <w:rsid w:val="00126DB9"/>
    <w:rsid w:val="00126E99"/>
    <w:rsid w:val="00134F5A"/>
    <w:rsid w:val="0014259E"/>
    <w:rsid w:val="0014511F"/>
    <w:rsid w:val="00152BB0"/>
    <w:rsid w:val="0016663A"/>
    <w:rsid w:val="00172AB9"/>
    <w:rsid w:val="00173355"/>
    <w:rsid w:val="001876A8"/>
    <w:rsid w:val="00191CF1"/>
    <w:rsid w:val="001A10B3"/>
    <w:rsid w:val="001A236A"/>
    <w:rsid w:val="001B7097"/>
    <w:rsid w:val="001C40E8"/>
    <w:rsid w:val="001C6B38"/>
    <w:rsid w:val="001D5CC1"/>
    <w:rsid w:val="001E261A"/>
    <w:rsid w:val="001E3DD7"/>
    <w:rsid w:val="001E7393"/>
    <w:rsid w:val="001F371C"/>
    <w:rsid w:val="0020193B"/>
    <w:rsid w:val="00224C24"/>
    <w:rsid w:val="00227097"/>
    <w:rsid w:val="00230E19"/>
    <w:rsid w:val="002366A0"/>
    <w:rsid w:val="00240E2C"/>
    <w:rsid w:val="0024138F"/>
    <w:rsid w:val="00246583"/>
    <w:rsid w:val="002616E8"/>
    <w:rsid w:val="00263EAE"/>
    <w:rsid w:val="002851FF"/>
    <w:rsid w:val="00295DB4"/>
    <w:rsid w:val="0029769D"/>
    <w:rsid w:val="00297C37"/>
    <w:rsid w:val="002B22DE"/>
    <w:rsid w:val="002C4828"/>
    <w:rsid w:val="002C507B"/>
    <w:rsid w:val="002C7D6C"/>
    <w:rsid w:val="002F4603"/>
    <w:rsid w:val="00303CB0"/>
    <w:rsid w:val="00306613"/>
    <w:rsid w:val="00307820"/>
    <w:rsid w:val="00307F4F"/>
    <w:rsid w:val="003120D1"/>
    <w:rsid w:val="003219AF"/>
    <w:rsid w:val="00327D2E"/>
    <w:rsid w:val="00340C8C"/>
    <w:rsid w:val="00346A79"/>
    <w:rsid w:val="00347B3F"/>
    <w:rsid w:val="003611C5"/>
    <w:rsid w:val="00362053"/>
    <w:rsid w:val="00362080"/>
    <w:rsid w:val="00365C93"/>
    <w:rsid w:val="00366993"/>
    <w:rsid w:val="00375450"/>
    <w:rsid w:val="00381B05"/>
    <w:rsid w:val="00383C64"/>
    <w:rsid w:val="003A065C"/>
    <w:rsid w:val="003A77BF"/>
    <w:rsid w:val="003B6446"/>
    <w:rsid w:val="003B6679"/>
    <w:rsid w:val="003B7FBC"/>
    <w:rsid w:val="003C213B"/>
    <w:rsid w:val="003C4634"/>
    <w:rsid w:val="003C6D87"/>
    <w:rsid w:val="003E1B6D"/>
    <w:rsid w:val="003E4AD7"/>
    <w:rsid w:val="003E6B79"/>
    <w:rsid w:val="003F1CC6"/>
    <w:rsid w:val="003F6C9E"/>
    <w:rsid w:val="003F7A81"/>
    <w:rsid w:val="00400F17"/>
    <w:rsid w:val="00422AFB"/>
    <w:rsid w:val="004269A6"/>
    <w:rsid w:val="00445D26"/>
    <w:rsid w:val="004565D3"/>
    <w:rsid w:val="00457B5A"/>
    <w:rsid w:val="004653A8"/>
    <w:rsid w:val="00484FFB"/>
    <w:rsid w:val="0048507A"/>
    <w:rsid w:val="00486418"/>
    <w:rsid w:val="004958C7"/>
    <w:rsid w:val="004A6ADC"/>
    <w:rsid w:val="004B315B"/>
    <w:rsid w:val="004C43CE"/>
    <w:rsid w:val="004C57D6"/>
    <w:rsid w:val="004D6B72"/>
    <w:rsid w:val="004E0073"/>
    <w:rsid w:val="004E1291"/>
    <w:rsid w:val="004E4A51"/>
    <w:rsid w:val="004E5035"/>
    <w:rsid w:val="004F0D30"/>
    <w:rsid w:val="004F217A"/>
    <w:rsid w:val="004F3A6F"/>
    <w:rsid w:val="00503028"/>
    <w:rsid w:val="0050764E"/>
    <w:rsid w:val="00512C57"/>
    <w:rsid w:val="005234A4"/>
    <w:rsid w:val="00531455"/>
    <w:rsid w:val="00534575"/>
    <w:rsid w:val="00535D24"/>
    <w:rsid w:val="00543FFF"/>
    <w:rsid w:val="00545D08"/>
    <w:rsid w:val="00546EC4"/>
    <w:rsid w:val="00551225"/>
    <w:rsid w:val="00551A2B"/>
    <w:rsid w:val="00561AF4"/>
    <w:rsid w:val="0057624F"/>
    <w:rsid w:val="00580589"/>
    <w:rsid w:val="005A27FA"/>
    <w:rsid w:val="005B0749"/>
    <w:rsid w:val="005B08FE"/>
    <w:rsid w:val="005B357C"/>
    <w:rsid w:val="005B46D0"/>
    <w:rsid w:val="005B4FC5"/>
    <w:rsid w:val="005C4001"/>
    <w:rsid w:val="005D4D57"/>
    <w:rsid w:val="005D6324"/>
    <w:rsid w:val="005F3FD7"/>
    <w:rsid w:val="00600EDE"/>
    <w:rsid w:val="0060245C"/>
    <w:rsid w:val="00614C89"/>
    <w:rsid w:val="00622B59"/>
    <w:rsid w:val="006231CE"/>
    <w:rsid w:val="0066632C"/>
    <w:rsid w:val="00685B36"/>
    <w:rsid w:val="006A29B1"/>
    <w:rsid w:val="006A311B"/>
    <w:rsid w:val="006A5F9A"/>
    <w:rsid w:val="006B7306"/>
    <w:rsid w:val="006C0189"/>
    <w:rsid w:val="006C2A43"/>
    <w:rsid w:val="006D1FFA"/>
    <w:rsid w:val="006D7531"/>
    <w:rsid w:val="006E01F5"/>
    <w:rsid w:val="006E4F51"/>
    <w:rsid w:val="00710CA0"/>
    <w:rsid w:val="00711139"/>
    <w:rsid w:val="00714943"/>
    <w:rsid w:val="00727E89"/>
    <w:rsid w:val="0073154B"/>
    <w:rsid w:val="0073220A"/>
    <w:rsid w:val="00737E34"/>
    <w:rsid w:val="007427ED"/>
    <w:rsid w:val="00753E75"/>
    <w:rsid w:val="00754763"/>
    <w:rsid w:val="007565F6"/>
    <w:rsid w:val="00762128"/>
    <w:rsid w:val="00765978"/>
    <w:rsid w:val="00775F74"/>
    <w:rsid w:val="00782C78"/>
    <w:rsid w:val="007B7E3B"/>
    <w:rsid w:val="007C2447"/>
    <w:rsid w:val="007C3067"/>
    <w:rsid w:val="007D4099"/>
    <w:rsid w:val="007D6E67"/>
    <w:rsid w:val="007E27E7"/>
    <w:rsid w:val="007E2EE6"/>
    <w:rsid w:val="007E69B5"/>
    <w:rsid w:val="007E7301"/>
    <w:rsid w:val="008016C5"/>
    <w:rsid w:val="00801A2D"/>
    <w:rsid w:val="008059EE"/>
    <w:rsid w:val="0082010C"/>
    <w:rsid w:val="00822672"/>
    <w:rsid w:val="0083734A"/>
    <w:rsid w:val="008541D1"/>
    <w:rsid w:val="00863515"/>
    <w:rsid w:val="008676DB"/>
    <w:rsid w:val="00874E81"/>
    <w:rsid w:val="008822E0"/>
    <w:rsid w:val="00883834"/>
    <w:rsid w:val="0089465A"/>
    <w:rsid w:val="008B2A8E"/>
    <w:rsid w:val="008B2C9E"/>
    <w:rsid w:val="008B67E4"/>
    <w:rsid w:val="008C2FAC"/>
    <w:rsid w:val="008C3688"/>
    <w:rsid w:val="008D500C"/>
    <w:rsid w:val="008F4E1C"/>
    <w:rsid w:val="008F74AD"/>
    <w:rsid w:val="00904623"/>
    <w:rsid w:val="00917D3F"/>
    <w:rsid w:val="009328F5"/>
    <w:rsid w:val="0095097A"/>
    <w:rsid w:val="00953FC3"/>
    <w:rsid w:val="00956700"/>
    <w:rsid w:val="00960006"/>
    <w:rsid w:val="0096002A"/>
    <w:rsid w:val="00960119"/>
    <w:rsid w:val="00967DDB"/>
    <w:rsid w:val="009757A3"/>
    <w:rsid w:val="00985B56"/>
    <w:rsid w:val="009864DB"/>
    <w:rsid w:val="00986CEC"/>
    <w:rsid w:val="009A0F9F"/>
    <w:rsid w:val="009A5D58"/>
    <w:rsid w:val="009A5E84"/>
    <w:rsid w:val="009A6E87"/>
    <w:rsid w:val="009B0699"/>
    <w:rsid w:val="009C7973"/>
    <w:rsid w:val="009D0DA3"/>
    <w:rsid w:val="009E33E4"/>
    <w:rsid w:val="009F13E6"/>
    <w:rsid w:val="009F1A9C"/>
    <w:rsid w:val="009F4B19"/>
    <w:rsid w:val="009F590C"/>
    <w:rsid w:val="009F7B5B"/>
    <w:rsid w:val="00A223C7"/>
    <w:rsid w:val="00A42B29"/>
    <w:rsid w:val="00A435B5"/>
    <w:rsid w:val="00A445AE"/>
    <w:rsid w:val="00A51EFA"/>
    <w:rsid w:val="00A52C86"/>
    <w:rsid w:val="00A5531B"/>
    <w:rsid w:val="00A758B3"/>
    <w:rsid w:val="00A80B7B"/>
    <w:rsid w:val="00A82D4E"/>
    <w:rsid w:val="00A85356"/>
    <w:rsid w:val="00A931F6"/>
    <w:rsid w:val="00A955E2"/>
    <w:rsid w:val="00AA5398"/>
    <w:rsid w:val="00AA61F2"/>
    <w:rsid w:val="00AA6458"/>
    <w:rsid w:val="00AC2F11"/>
    <w:rsid w:val="00AC48A3"/>
    <w:rsid w:val="00AE1C78"/>
    <w:rsid w:val="00AF33B6"/>
    <w:rsid w:val="00AF576C"/>
    <w:rsid w:val="00AF5BBE"/>
    <w:rsid w:val="00B01F14"/>
    <w:rsid w:val="00B22F38"/>
    <w:rsid w:val="00B32C3F"/>
    <w:rsid w:val="00B3490D"/>
    <w:rsid w:val="00B503C6"/>
    <w:rsid w:val="00B547D6"/>
    <w:rsid w:val="00B56890"/>
    <w:rsid w:val="00B570BD"/>
    <w:rsid w:val="00B577AF"/>
    <w:rsid w:val="00B65CCB"/>
    <w:rsid w:val="00B73092"/>
    <w:rsid w:val="00B96524"/>
    <w:rsid w:val="00BA012E"/>
    <w:rsid w:val="00BA2D1D"/>
    <w:rsid w:val="00BA7B97"/>
    <w:rsid w:val="00BB1312"/>
    <w:rsid w:val="00BB53E3"/>
    <w:rsid w:val="00BD1FC8"/>
    <w:rsid w:val="00BD6B6E"/>
    <w:rsid w:val="00BE3D81"/>
    <w:rsid w:val="00BF0D3E"/>
    <w:rsid w:val="00C10DE1"/>
    <w:rsid w:val="00C10E18"/>
    <w:rsid w:val="00C177A1"/>
    <w:rsid w:val="00C2225A"/>
    <w:rsid w:val="00C25502"/>
    <w:rsid w:val="00C32D5C"/>
    <w:rsid w:val="00C37298"/>
    <w:rsid w:val="00C57A10"/>
    <w:rsid w:val="00C615AA"/>
    <w:rsid w:val="00C62928"/>
    <w:rsid w:val="00C925C9"/>
    <w:rsid w:val="00CA2A91"/>
    <w:rsid w:val="00CA4E75"/>
    <w:rsid w:val="00CD3643"/>
    <w:rsid w:val="00CD71D4"/>
    <w:rsid w:val="00CD7537"/>
    <w:rsid w:val="00CE56E3"/>
    <w:rsid w:val="00CF71DE"/>
    <w:rsid w:val="00D060DD"/>
    <w:rsid w:val="00D07886"/>
    <w:rsid w:val="00D1233C"/>
    <w:rsid w:val="00D14F07"/>
    <w:rsid w:val="00D15354"/>
    <w:rsid w:val="00D21069"/>
    <w:rsid w:val="00D249F9"/>
    <w:rsid w:val="00D3102E"/>
    <w:rsid w:val="00D34DAC"/>
    <w:rsid w:val="00D37550"/>
    <w:rsid w:val="00D4301F"/>
    <w:rsid w:val="00D45942"/>
    <w:rsid w:val="00D51848"/>
    <w:rsid w:val="00D7345F"/>
    <w:rsid w:val="00D80843"/>
    <w:rsid w:val="00D83CE3"/>
    <w:rsid w:val="00D8551D"/>
    <w:rsid w:val="00D90D47"/>
    <w:rsid w:val="00D92E80"/>
    <w:rsid w:val="00D97A15"/>
    <w:rsid w:val="00DA209A"/>
    <w:rsid w:val="00DA306E"/>
    <w:rsid w:val="00DA7159"/>
    <w:rsid w:val="00DD6BF1"/>
    <w:rsid w:val="00DE30F1"/>
    <w:rsid w:val="00DE4AC3"/>
    <w:rsid w:val="00DF2B9E"/>
    <w:rsid w:val="00E0070C"/>
    <w:rsid w:val="00E0694D"/>
    <w:rsid w:val="00E1181D"/>
    <w:rsid w:val="00E2088E"/>
    <w:rsid w:val="00E253A4"/>
    <w:rsid w:val="00E25A3D"/>
    <w:rsid w:val="00E40BBD"/>
    <w:rsid w:val="00E5273F"/>
    <w:rsid w:val="00E55CBE"/>
    <w:rsid w:val="00E67124"/>
    <w:rsid w:val="00E6778D"/>
    <w:rsid w:val="00E719E4"/>
    <w:rsid w:val="00E71D06"/>
    <w:rsid w:val="00E738FA"/>
    <w:rsid w:val="00E86E7B"/>
    <w:rsid w:val="00E877F9"/>
    <w:rsid w:val="00E92901"/>
    <w:rsid w:val="00E94F7A"/>
    <w:rsid w:val="00EA587C"/>
    <w:rsid w:val="00EB29C4"/>
    <w:rsid w:val="00EC37A5"/>
    <w:rsid w:val="00EE07DB"/>
    <w:rsid w:val="00EE2FD4"/>
    <w:rsid w:val="00EF27C1"/>
    <w:rsid w:val="00F160DF"/>
    <w:rsid w:val="00F37C43"/>
    <w:rsid w:val="00F44933"/>
    <w:rsid w:val="00F54F09"/>
    <w:rsid w:val="00F56740"/>
    <w:rsid w:val="00F6079A"/>
    <w:rsid w:val="00F93085"/>
    <w:rsid w:val="00F96375"/>
    <w:rsid w:val="00F974FE"/>
    <w:rsid w:val="00FC731B"/>
    <w:rsid w:val="00FD537B"/>
    <w:rsid w:val="00FE50E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2BB0"/>
    <w:pPr>
      <w:spacing w:after="0" w:line="240" w:lineRule="auto"/>
    </w:pPr>
    <w:rPr>
      <w:rFonts w:ascii="Calibri" w:eastAsia="Calibri" w:hAnsi="Calibri" w:cs="Times New Roman"/>
    </w:rPr>
  </w:style>
  <w:style w:type="paragraph" w:styleId="ListParagraph">
    <w:name w:val="List Paragraph"/>
    <w:basedOn w:val="Normal"/>
    <w:uiPriority w:val="34"/>
    <w:qFormat/>
    <w:rsid w:val="00543FFF"/>
    <w:pPr>
      <w:ind w:left="720"/>
      <w:contextualSpacing/>
    </w:pPr>
  </w:style>
  <w:style w:type="paragraph" w:styleId="BalloonText">
    <w:name w:val="Balloon Text"/>
    <w:basedOn w:val="Normal"/>
    <w:link w:val="BalloonTextChar"/>
    <w:uiPriority w:val="99"/>
    <w:semiHidden/>
    <w:unhideWhenUsed/>
    <w:rsid w:val="00307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F4F"/>
    <w:rPr>
      <w:rFonts w:ascii="Tahoma" w:hAnsi="Tahoma" w:cs="Tahoma"/>
      <w:sz w:val="16"/>
      <w:szCs w:val="16"/>
    </w:rPr>
  </w:style>
  <w:style w:type="paragraph" w:customStyle="1" w:styleId="Default">
    <w:name w:val="Default"/>
    <w:rsid w:val="00B22F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headline">
    <w:name w:val="mw-headline"/>
    <w:basedOn w:val="DefaultParagraphFont"/>
    <w:rsid w:val="00DE30F1"/>
  </w:style>
  <w:style w:type="paragraph" w:styleId="Header">
    <w:name w:val="header"/>
    <w:basedOn w:val="Normal"/>
    <w:link w:val="HeaderChar"/>
    <w:uiPriority w:val="99"/>
    <w:semiHidden/>
    <w:unhideWhenUsed/>
    <w:rsid w:val="001A23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236A"/>
  </w:style>
  <w:style w:type="paragraph" w:styleId="Footer">
    <w:name w:val="footer"/>
    <w:basedOn w:val="Normal"/>
    <w:link w:val="FooterChar"/>
    <w:uiPriority w:val="99"/>
    <w:unhideWhenUsed/>
    <w:rsid w:val="001A2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36A"/>
  </w:style>
  <w:style w:type="table" w:styleId="TableGrid">
    <w:name w:val="Table Grid"/>
    <w:basedOn w:val="TableNormal"/>
    <w:uiPriority w:val="59"/>
    <w:rsid w:val="00602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0D3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Sheet1!$B$1</c:f>
              <c:strCache>
                <c:ptCount val="1"/>
                <c:pt idx="0">
                  <c:v>Tank 1</c:v>
                </c:pt>
              </c:strCache>
            </c:strRef>
          </c:tx>
          <c:cat>
            <c:strRef>
              <c:f>Sheet1!$A$2:$A$7</c:f>
              <c:strCache>
                <c:ptCount val="6"/>
                <c:pt idx="0">
                  <c:v>Mode 1</c:v>
                </c:pt>
                <c:pt idx="1">
                  <c:v>Mode 2</c:v>
                </c:pt>
                <c:pt idx="2">
                  <c:v>Mode 3</c:v>
                </c:pt>
                <c:pt idx="3">
                  <c:v>Mode 4</c:v>
                </c:pt>
                <c:pt idx="4">
                  <c:v>Mode 5</c:v>
                </c:pt>
                <c:pt idx="5">
                  <c:v>Mode 6</c:v>
                </c:pt>
              </c:strCache>
            </c:strRef>
          </c:cat>
          <c:val>
            <c:numRef>
              <c:f>Sheet1!$B$2:$B$7</c:f>
              <c:numCache>
                <c:formatCode>General</c:formatCode>
                <c:ptCount val="6"/>
                <c:pt idx="0">
                  <c:v>1.8420000000000001</c:v>
                </c:pt>
                <c:pt idx="1">
                  <c:v>1.8420000000000001</c:v>
                </c:pt>
                <c:pt idx="2">
                  <c:v>2.7119999999999997</c:v>
                </c:pt>
                <c:pt idx="3">
                  <c:v>10.81</c:v>
                </c:pt>
                <c:pt idx="4">
                  <c:v>10.81</c:v>
                </c:pt>
                <c:pt idx="5">
                  <c:v>11.107000000000001</c:v>
                </c:pt>
              </c:numCache>
            </c:numRef>
          </c:val>
        </c:ser>
        <c:ser>
          <c:idx val="1"/>
          <c:order val="1"/>
          <c:tx>
            <c:strRef>
              <c:f>Sheet1!$C$1</c:f>
              <c:strCache>
                <c:ptCount val="1"/>
                <c:pt idx="0">
                  <c:v>Tank 2</c:v>
                </c:pt>
              </c:strCache>
            </c:strRef>
          </c:tx>
          <c:cat>
            <c:strRef>
              <c:f>Sheet1!$A$2:$A$7</c:f>
              <c:strCache>
                <c:ptCount val="6"/>
                <c:pt idx="0">
                  <c:v>Mode 1</c:v>
                </c:pt>
                <c:pt idx="1">
                  <c:v>Mode 2</c:v>
                </c:pt>
                <c:pt idx="2">
                  <c:v>Mode 3</c:v>
                </c:pt>
                <c:pt idx="3">
                  <c:v>Mode 4</c:v>
                </c:pt>
                <c:pt idx="4">
                  <c:v>Mode 5</c:v>
                </c:pt>
                <c:pt idx="5">
                  <c:v>Mode 6</c:v>
                </c:pt>
              </c:strCache>
            </c:strRef>
          </c:cat>
          <c:val>
            <c:numRef>
              <c:f>Sheet1!$C$2:$C$7</c:f>
              <c:numCache>
                <c:formatCode>General</c:formatCode>
                <c:ptCount val="6"/>
                <c:pt idx="0">
                  <c:v>1.667</c:v>
                </c:pt>
                <c:pt idx="1">
                  <c:v>1.823</c:v>
                </c:pt>
                <c:pt idx="2">
                  <c:v>1.913999999999995</c:v>
                </c:pt>
                <c:pt idx="3">
                  <c:v>2.68</c:v>
                </c:pt>
                <c:pt idx="4">
                  <c:v>3.2919999999999998</c:v>
                </c:pt>
                <c:pt idx="5">
                  <c:v>4.6619999999999955</c:v>
                </c:pt>
              </c:numCache>
            </c:numRef>
          </c:val>
        </c:ser>
        <c:ser>
          <c:idx val="2"/>
          <c:order val="2"/>
          <c:tx>
            <c:strRef>
              <c:f>Sheet1!$D$1</c:f>
              <c:strCache>
                <c:ptCount val="1"/>
                <c:pt idx="0">
                  <c:v>Tank 3</c:v>
                </c:pt>
              </c:strCache>
            </c:strRef>
          </c:tx>
          <c:cat>
            <c:strRef>
              <c:f>Sheet1!$A$2:$A$7</c:f>
              <c:strCache>
                <c:ptCount val="6"/>
                <c:pt idx="0">
                  <c:v>Mode 1</c:v>
                </c:pt>
                <c:pt idx="1">
                  <c:v>Mode 2</c:v>
                </c:pt>
                <c:pt idx="2">
                  <c:v>Mode 3</c:v>
                </c:pt>
                <c:pt idx="3">
                  <c:v>Mode 4</c:v>
                </c:pt>
                <c:pt idx="4">
                  <c:v>Mode 5</c:v>
                </c:pt>
                <c:pt idx="5">
                  <c:v>Mode 6</c:v>
                </c:pt>
              </c:strCache>
            </c:strRef>
          </c:cat>
          <c:val>
            <c:numRef>
              <c:f>Sheet1!$D$2:$D$7</c:f>
              <c:numCache>
                <c:formatCode>General</c:formatCode>
                <c:ptCount val="6"/>
                <c:pt idx="0">
                  <c:v>1.661</c:v>
                </c:pt>
                <c:pt idx="1">
                  <c:v>1.7209999999999974</c:v>
                </c:pt>
                <c:pt idx="2">
                  <c:v>1.8140000000000001</c:v>
                </c:pt>
                <c:pt idx="3">
                  <c:v>2.58</c:v>
                </c:pt>
                <c:pt idx="4">
                  <c:v>3.8919999999999977</c:v>
                </c:pt>
                <c:pt idx="5">
                  <c:v>4.9619999999999997</c:v>
                </c:pt>
              </c:numCache>
            </c:numRef>
          </c:val>
        </c:ser>
        <c:ser>
          <c:idx val="3"/>
          <c:order val="3"/>
          <c:tx>
            <c:strRef>
              <c:f>Sheet1!$E$1</c:f>
              <c:strCache>
                <c:ptCount val="1"/>
                <c:pt idx="0">
                  <c:v>Tank 4</c:v>
                </c:pt>
              </c:strCache>
            </c:strRef>
          </c:tx>
          <c:cat>
            <c:strRef>
              <c:f>Sheet1!$A$2:$A$7</c:f>
              <c:strCache>
                <c:ptCount val="6"/>
                <c:pt idx="0">
                  <c:v>Mode 1</c:v>
                </c:pt>
                <c:pt idx="1">
                  <c:v>Mode 2</c:v>
                </c:pt>
                <c:pt idx="2">
                  <c:v>Mode 3</c:v>
                </c:pt>
                <c:pt idx="3">
                  <c:v>Mode 4</c:v>
                </c:pt>
                <c:pt idx="4">
                  <c:v>Mode 5</c:v>
                </c:pt>
                <c:pt idx="5">
                  <c:v>Mode 6</c:v>
                </c:pt>
              </c:strCache>
            </c:strRef>
          </c:cat>
          <c:val>
            <c:numRef>
              <c:f>Sheet1!$E$2:$E$7</c:f>
              <c:numCache>
                <c:formatCode>General</c:formatCode>
                <c:ptCount val="6"/>
                <c:pt idx="0">
                  <c:v>1.6619999999999964</c:v>
                </c:pt>
                <c:pt idx="1">
                  <c:v>1.7200000000000011</c:v>
                </c:pt>
                <c:pt idx="2">
                  <c:v>1.8380000000000001</c:v>
                </c:pt>
                <c:pt idx="3">
                  <c:v>2.7600000000000002</c:v>
                </c:pt>
                <c:pt idx="4">
                  <c:v>4.0019999999999998</c:v>
                </c:pt>
                <c:pt idx="5">
                  <c:v>4.7139999999999995</c:v>
                </c:pt>
              </c:numCache>
            </c:numRef>
          </c:val>
        </c:ser>
        <c:ser>
          <c:idx val="4"/>
          <c:order val="4"/>
          <c:tx>
            <c:strRef>
              <c:f>Sheet1!$F$1</c:f>
              <c:strCache>
                <c:ptCount val="1"/>
                <c:pt idx="0">
                  <c:v>Tank 5</c:v>
                </c:pt>
              </c:strCache>
            </c:strRef>
          </c:tx>
          <c:cat>
            <c:strRef>
              <c:f>Sheet1!$A$2:$A$7</c:f>
              <c:strCache>
                <c:ptCount val="6"/>
                <c:pt idx="0">
                  <c:v>Mode 1</c:v>
                </c:pt>
                <c:pt idx="1">
                  <c:v>Mode 2</c:v>
                </c:pt>
                <c:pt idx="2">
                  <c:v>Mode 3</c:v>
                </c:pt>
                <c:pt idx="3">
                  <c:v>Mode 4</c:v>
                </c:pt>
                <c:pt idx="4">
                  <c:v>Mode 5</c:v>
                </c:pt>
                <c:pt idx="5">
                  <c:v>Mode 6</c:v>
                </c:pt>
              </c:strCache>
            </c:strRef>
          </c:cat>
          <c:val>
            <c:numRef>
              <c:f>Sheet1!$F$2:$F$7</c:f>
              <c:numCache>
                <c:formatCode>General</c:formatCode>
                <c:ptCount val="6"/>
                <c:pt idx="0">
                  <c:v>1.8120000000000001</c:v>
                </c:pt>
                <c:pt idx="1">
                  <c:v>2.0419999999999998</c:v>
                </c:pt>
                <c:pt idx="2">
                  <c:v>2.5119999999999987</c:v>
                </c:pt>
                <c:pt idx="3">
                  <c:v>7.843</c:v>
                </c:pt>
                <c:pt idx="4">
                  <c:v>9.8120000000000047</c:v>
                </c:pt>
                <c:pt idx="5">
                  <c:v>10.112</c:v>
                </c:pt>
              </c:numCache>
            </c:numRef>
          </c:val>
        </c:ser>
        <c:ser>
          <c:idx val="5"/>
          <c:order val="5"/>
          <c:tx>
            <c:strRef>
              <c:f>Sheet1!$G$1</c:f>
              <c:strCache>
                <c:ptCount val="1"/>
                <c:pt idx="0">
                  <c:v>Tank 6</c:v>
                </c:pt>
              </c:strCache>
            </c:strRef>
          </c:tx>
          <c:cat>
            <c:strRef>
              <c:f>Sheet1!$A$2:$A$7</c:f>
              <c:strCache>
                <c:ptCount val="6"/>
                <c:pt idx="0">
                  <c:v>Mode 1</c:v>
                </c:pt>
                <c:pt idx="1">
                  <c:v>Mode 2</c:v>
                </c:pt>
                <c:pt idx="2">
                  <c:v>Mode 3</c:v>
                </c:pt>
                <c:pt idx="3">
                  <c:v>Mode 4</c:v>
                </c:pt>
                <c:pt idx="4">
                  <c:v>Mode 5</c:v>
                </c:pt>
                <c:pt idx="5">
                  <c:v>Mode 6</c:v>
                </c:pt>
              </c:strCache>
            </c:strRef>
          </c:cat>
          <c:val>
            <c:numRef>
              <c:f>Sheet1!$G$2:$G$7</c:f>
              <c:numCache>
                <c:formatCode>General</c:formatCode>
                <c:ptCount val="6"/>
                <c:pt idx="0">
                  <c:v>1.7820000000000011</c:v>
                </c:pt>
                <c:pt idx="1">
                  <c:v>1.942999999999999</c:v>
                </c:pt>
                <c:pt idx="2">
                  <c:v>2.7</c:v>
                </c:pt>
                <c:pt idx="3">
                  <c:v>9.7160000000000011</c:v>
                </c:pt>
                <c:pt idx="4">
                  <c:v>10.991</c:v>
                </c:pt>
                <c:pt idx="5">
                  <c:v>11.813000000000002</c:v>
                </c:pt>
              </c:numCache>
            </c:numRef>
          </c:val>
        </c:ser>
        <c:axId val="112075136"/>
        <c:axId val="159286016"/>
      </c:barChart>
      <c:catAx>
        <c:axId val="112075136"/>
        <c:scaling>
          <c:orientation val="minMax"/>
        </c:scaling>
        <c:axPos val="b"/>
        <c:tickLblPos val="nextTo"/>
        <c:txPr>
          <a:bodyPr/>
          <a:lstStyle/>
          <a:p>
            <a:pPr>
              <a:defRPr lang="en-US" sz="1200"/>
            </a:pPr>
            <a:endParaRPr lang="en-US"/>
          </a:p>
        </c:txPr>
        <c:crossAx val="159286016"/>
        <c:crosses val="autoZero"/>
        <c:auto val="1"/>
        <c:lblAlgn val="ctr"/>
        <c:lblOffset val="100"/>
      </c:catAx>
      <c:valAx>
        <c:axId val="159286016"/>
        <c:scaling>
          <c:orientation val="minMax"/>
          <c:max val="12"/>
        </c:scaling>
        <c:axPos val="l"/>
        <c:numFmt formatCode="General" sourceLinked="1"/>
        <c:tickLblPos val="nextTo"/>
        <c:txPr>
          <a:bodyPr/>
          <a:lstStyle/>
          <a:p>
            <a:pPr>
              <a:defRPr lang="en-US" sz="1400"/>
            </a:pPr>
            <a:endParaRPr lang="en-US"/>
          </a:p>
        </c:txPr>
        <c:crossAx val="112075136"/>
        <c:crosses val="autoZero"/>
        <c:crossBetween val="between"/>
        <c:majorUnit val="2"/>
      </c:valAx>
    </c:plotArea>
    <c:legend>
      <c:legendPos val="r"/>
      <c:txPr>
        <a:bodyPr/>
        <a:lstStyle/>
        <a:p>
          <a:pPr>
            <a:defRPr lang="en-US" sz="1200"/>
          </a:pPr>
          <a:endParaRPr lang="en-US"/>
        </a:p>
      </c:txPr>
    </c:legend>
    <c:plotVisOnly val="1"/>
  </c:chart>
  <c:spPr>
    <a:ln>
      <a:solidFill>
        <a:schemeClr val="bg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Sheet1!$B$1</c:f>
              <c:strCache>
                <c:ptCount val="1"/>
                <c:pt idx="0">
                  <c:v>Tank 1</c:v>
                </c:pt>
              </c:strCache>
            </c:strRef>
          </c:tx>
          <c:cat>
            <c:strRef>
              <c:f>Sheet1!$A$2:$A$7</c:f>
              <c:strCache>
                <c:ptCount val="6"/>
                <c:pt idx="0">
                  <c:v>Mode 1</c:v>
                </c:pt>
                <c:pt idx="1">
                  <c:v>Mode 2</c:v>
                </c:pt>
                <c:pt idx="2">
                  <c:v>Mode 3</c:v>
                </c:pt>
                <c:pt idx="3">
                  <c:v>Mode 4</c:v>
                </c:pt>
                <c:pt idx="4">
                  <c:v>Mode 5</c:v>
                </c:pt>
                <c:pt idx="5">
                  <c:v>Mode 6</c:v>
                </c:pt>
              </c:strCache>
            </c:strRef>
          </c:cat>
          <c:val>
            <c:numRef>
              <c:f>Sheet1!$B$2:$B$7</c:f>
              <c:numCache>
                <c:formatCode>General</c:formatCode>
                <c:ptCount val="6"/>
                <c:pt idx="0">
                  <c:v>0.54283999999999999</c:v>
                </c:pt>
                <c:pt idx="1">
                  <c:v>0.54283999999999999</c:v>
                </c:pt>
                <c:pt idx="2">
                  <c:v>0.36874000000000001</c:v>
                </c:pt>
                <c:pt idx="3">
                  <c:v>9.2500000000000027E-2</c:v>
                </c:pt>
                <c:pt idx="4">
                  <c:v>9.2500000000000027E-2</c:v>
                </c:pt>
                <c:pt idx="5">
                  <c:v>9.0040000000000023E-2</c:v>
                </c:pt>
              </c:numCache>
            </c:numRef>
          </c:val>
        </c:ser>
        <c:ser>
          <c:idx val="1"/>
          <c:order val="1"/>
          <c:tx>
            <c:strRef>
              <c:f>Sheet1!$C$1</c:f>
              <c:strCache>
                <c:ptCount val="1"/>
                <c:pt idx="0">
                  <c:v>Tank 2</c:v>
                </c:pt>
              </c:strCache>
            </c:strRef>
          </c:tx>
          <c:cat>
            <c:strRef>
              <c:f>Sheet1!$A$2:$A$7</c:f>
              <c:strCache>
                <c:ptCount val="6"/>
                <c:pt idx="0">
                  <c:v>Mode 1</c:v>
                </c:pt>
                <c:pt idx="1">
                  <c:v>Mode 2</c:v>
                </c:pt>
                <c:pt idx="2">
                  <c:v>Mode 3</c:v>
                </c:pt>
                <c:pt idx="3">
                  <c:v>Mode 4</c:v>
                </c:pt>
                <c:pt idx="4">
                  <c:v>Mode 5</c:v>
                </c:pt>
                <c:pt idx="5">
                  <c:v>Mode 6</c:v>
                </c:pt>
              </c:strCache>
            </c:strRef>
          </c:cat>
          <c:val>
            <c:numRef>
              <c:f>Sheet1!$C$2:$C$7</c:f>
              <c:numCache>
                <c:formatCode>General</c:formatCode>
                <c:ptCount val="6"/>
                <c:pt idx="0">
                  <c:v>0.59982000000000002</c:v>
                </c:pt>
                <c:pt idx="1">
                  <c:v>0.54867999999999995</c:v>
                </c:pt>
                <c:pt idx="2">
                  <c:v>0.52237999999999996</c:v>
                </c:pt>
                <c:pt idx="3">
                  <c:v>0.37316000000000032</c:v>
                </c:pt>
                <c:pt idx="4">
                  <c:v>0.30379</c:v>
                </c:pt>
                <c:pt idx="5">
                  <c:v>0.21452000000000004</c:v>
                </c:pt>
              </c:numCache>
            </c:numRef>
          </c:val>
        </c:ser>
        <c:ser>
          <c:idx val="2"/>
          <c:order val="2"/>
          <c:tx>
            <c:strRef>
              <c:f>Sheet1!$D$1</c:f>
              <c:strCache>
                <c:ptCount val="1"/>
                <c:pt idx="0">
                  <c:v>Tank 3</c:v>
                </c:pt>
              </c:strCache>
            </c:strRef>
          </c:tx>
          <c:cat>
            <c:strRef>
              <c:f>Sheet1!$A$2:$A$7</c:f>
              <c:strCache>
                <c:ptCount val="6"/>
                <c:pt idx="0">
                  <c:v>Mode 1</c:v>
                </c:pt>
                <c:pt idx="1">
                  <c:v>Mode 2</c:v>
                </c:pt>
                <c:pt idx="2">
                  <c:v>Mode 3</c:v>
                </c:pt>
                <c:pt idx="3">
                  <c:v>Mode 4</c:v>
                </c:pt>
                <c:pt idx="4">
                  <c:v>Mode 5</c:v>
                </c:pt>
                <c:pt idx="5">
                  <c:v>Mode 6</c:v>
                </c:pt>
              </c:strCache>
            </c:strRef>
          </c:cat>
          <c:val>
            <c:numRef>
              <c:f>Sheet1!$D$2:$D$7</c:f>
              <c:numCache>
                <c:formatCode>General</c:formatCode>
                <c:ptCount val="6"/>
                <c:pt idx="0">
                  <c:v>0.64253000000000005</c:v>
                </c:pt>
                <c:pt idx="1">
                  <c:v>0.51280999999999999</c:v>
                </c:pt>
                <c:pt idx="2">
                  <c:v>0.54901</c:v>
                </c:pt>
                <c:pt idx="3">
                  <c:v>0.4021300000000001</c:v>
                </c:pt>
                <c:pt idx="4">
                  <c:v>0.37351000000000095</c:v>
                </c:pt>
                <c:pt idx="5">
                  <c:v>0.23912</c:v>
                </c:pt>
              </c:numCache>
            </c:numRef>
          </c:val>
        </c:ser>
        <c:ser>
          <c:idx val="3"/>
          <c:order val="3"/>
          <c:tx>
            <c:strRef>
              <c:f>Sheet1!$E$1</c:f>
              <c:strCache>
                <c:ptCount val="1"/>
                <c:pt idx="0">
                  <c:v>Tank 4</c:v>
                </c:pt>
              </c:strCache>
            </c:strRef>
          </c:tx>
          <c:cat>
            <c:strRef>
              <c:f>Sheet1!$A$2:$A$7</c:f>
              <c:strCache>
                <c:ptCount val="6"/>
                <c:pt idx="0">
                  <c:v>Mode 1</c:v>
                </c:pt>
                <c:pt idx="1">
                  <c:v>Mode 2</c:v>
                </c:pt>
                <c:pt idx="2">
                  <c:v>Mode 3</c:v>
                </c:pt>
                <c:pt idx="3">
                  <c:v>Mode 4</c:v>
                </c:pt>
                <c:pt idx="4">
                  <c:v>Mode 5</c:v>
                </c:pt>
                <c:pt idx="5">
                  <c:v>Mode 6</c:v>
                </c:pt>
              </c:strCache>
            </c:strRef>
          </c:cat>
          <c:val>
            <c:numRef>
              <c:f>Sheet1!$E$2:$E$7</c:f>
              <c:numCache>
                <c:formatCode>General</c:formatCode>
                <c:ptCount val="6"/>
                <c:pt idx="0">
                  <c:v>0.55464000000000191</c:v>
                </c:pt>
                <c:pt idx="1">
                  <c:v>0.51263999999999998</c:v>
                </c:pt>
                <c:pt idx="2">
                  <c:v>0.53934000000000004</c:v>
                </c:pt>
                <c:pt idx="3">
                  <c:v>0.15235000000000001</c:v>
                </c:pt>
                <c:pt idx="4">
                  <c:v>0.14355999999999999</c:v>
                </c:pt>
                <c:pt idx="5">
                  <c:v>0.13317999999999997</c:v>
                </c:pt>
              </c:numCache>
            </c:numRef>
          </c:val>
        </c:ser>
        <c:ser>
          <c:idx val="4"/>
          <c:order val="4"/>
          <c:tx>
            <c:strRef>
              <c:f>Sheet1!$F$1</c:f>
              <c:strCache>
                <c:ptCount val="1"/>
                <c:pt idx="0">
                  <c:v>Tank 5</c:v>
                </c:pt>
              </c:strCache>
            </c:strRef>
          </c:tx>
          <c:cat>
            <c:strRef>
              <c:f>Sheet1!$A$2:$A$7</c:f>
              <c:strCache>
                <c:ptCount val="6"/>
                <c:pt idx="0">
                  <c:v>Mode 1</c:v>
                </c:pt>
                <c:pt idx="1">
                  <c:v>Mode 2</c:v>
                </c:pt>
                <c:pt idx="2">
                  <c:v>Mode 3</c:v>
                </c:pt>
                <c:pt idx="3">
                  <c:v>Mode 4</c:v>
                </c:pt>
                <c:pt idx="4">
                  <c:v>Mode 5</c:v>
                </c:pt>
                <c:pt idx="5">
                  <c:v>Mode 6</c:v>
                </c:pt>
              </c:strCache>
            </c:strRef>
          </c:cat>
          <c:val>
            <c:numRef>
              <c:f>Sheet1!$F$2:$F$7</c:f>
              <c:numCache>
                <c:formatCode>General</c:formatCode>
                <c:ptCount val="6"/>
                <c:pt idx="0">
                  <c:v>0.48216000000000031</c:v>
                </c:pt>
                <c:pt idx="1">
                  <c:v>0.47884000000000032</c:v>
                </c:pt>
                <c:pt idx="2">
                  <c:v>0.38935000000000125</c:v>
                </c:pt>
                <c:pt idx="3">
                  <c:v>0.14252000000000001</c:v>
                </c:pt>
                <c:pt idx="4">
                  <c:v>0.13574000000000044</c:v>
                </c:pt>
                <c:pt idx="5">
                  <c:v>0.12975</c:v>
                </c:pt>
              </c:numCache>
            </c:numRef>
          </c:val>
        </c:ser>
        <c:ser>
          <c:idx val="5"/>
          <c:order val="5"/>
          <c:tx>
            <c:strRef>
              <c:f>Sheet1!$G$1</c:f>
              <c:strCache>
                <c:ptCount val="1"/>
                <c:pt idx="0">
                  <c:v>Tank 6</c:v>
                </c:pt>
              </c:strCache>
            </c:strRef>
          </c:tx>
          <c:cat>
            <c:strRef>
              <c:f>Sheet1!$A$2:$A$7</c:f>
              <c:strCache>
                <c:ptCount val="6"/>
                <c:pt idx="0">
                  <c:v>Mode 1</c:v>
                </c:pt>
                <c:pt idx="1">
                  <c:v>Mode 2</c:v>
                </c:pt>
                <c:pt idx="2">
                  <c:v>Mode 3</c:v>
                </c:pt>
                <c:pt idx="3">
                  <c:v>Mode 4</c:v>
                </c:pt>
                <c:pt idx="4">
                  <c:v>Mode 5</c:v>
                </c:pt>
                <c:pt idx="5">
                  <c:v>Mode 6</c:v>
                </c:pt>
              </c:strCache>
            </c:strRef>
          </c:cat>
          <c:val>
            <c:numRef>
              <c:f>Sheet1!$G$2:$G$7</c:f>
              <c:numCache>
                <c:formatCode>General</c:formatCode>
                <c:ptCount val="6"/>
                <c:pt idx="0">
                  <c:v>0.54283999999999999</c:v>
                </c:pt>
                <c:pt idx="1">
                  <c:v>0.49281000000000136</c:v>
                </c:pt>
                <c:pt idx="2">
                  <c:v>0.36901000000000095</c:v>
                </c:pt>
                <c:pt idx="3">
                  <c:v>0.10249999999999998</c:v>
                </c:pt>
                <c:pt idx="4">
                  <c:v>9.0760000000000063E-2</c:v>
                </c:pt>
                <c:pt idx="5">
                  <c:v>8.9180000000000023E-2</c:v>
                </c:pt>
              </c:numCache>
            </c:numRef>
          </c:val>
        </c:ser>
        <c:axId val="167838464"/>
        <c:axId val="167896192"/>
      </c:barChart>
      <c:catAx>
        <c:axId val="167838464"/>
        <c:scaling>
          <c:orientation val="minMax"/>
        </c:scaling>
        <c:axPos val="b"/>
        <c:tickLblPos val="nextTo"/>
        <c:txPr>
          <a:bodyPr/>
          <a:lstStyle/>
          <a:p>
            <a:pPr>
              <a:defRPr lang="en-US" sz="1200"/>
            </a:pPr>
            <a:endParaRPr lang="en-US"/>
          </a:p>
        </c:txPr>
        <c:crossAx val="167896192"/>
        <c:crosses val="autoZero"/>
        <c:auto val="1"/>
        <c:lblAlgn val="ctr"/>
        <c:lblOffset val="100"/>
      </c:catAx>
      <c:valAx>
        <c:axId val="167896192"/>
        <c:scaling>
          <c:orientation val="minMax"/>
        </c:scaling>
        <c:axPos val="l"/>
        <c:numFmt formatCode="General" sourceLinked="1"/>
        <c:tickLblPos val="nextTo"/>
        <c:txPr>
          <a:bodyPr/>
          <a:lstStyle/>
          <a:p>
            <a:pPr>
              <a:defRPr lang="en-US" sz="1400"/>
            </a:pPr>
            <a:endParaRPr lang="en-US"/>
          </a:p>
        </c:txPr>
        <c:crossAx val="167838464"/>
        <c:crosses val="autoZero"/>
        <c:crossBetween val="between"/>
      </c:valAx>
    </c:plotArea>
    <c:legend>
      <c:legendPos val="r"/>
      <c:txPr>
        <a:bodyPr/>
        <a:lstStyle/>
        <a:p>
          <a:pPr>
            <a:defRPr lang="en-US" sz="1200"/>
          </a:pPr>
          <a:endParaRPr lang="en-US"/>
        </a:p>
      </c:txPr>
    </c:legend>
    <c:plotVisOnly val="1"/>
  </c:chart>
  <c:spPr>
    <a:ln>
      <a:solidFill>
        <a:schemeClr val="bg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Sheet1!$B$1</c:f>
              <c:strCache>
                <c:ptCount val="1"/>
                <c:pt idx="0">
                  <c:v>Tank 1</c:v>
                </c:pt>
              </c:strCache>
            </c:strRef>
          </c:tx>
          <c:cat>
            <c:strRef>
              <c:f>Sheet1!$A$2:$A$5</c:f>
              <c:strCache>
                <c:ptCount val="4"/>
                <c:pt idx="0">
                  <c:v>3</c:v>
                </c:pt>
                <c:pt idx="1">
                  <c:v>2</c:v>
                </c:pt>
                <c:pt idx="2">
                  <c:v>1</c:v>
                </c:pt>
                <c:pt idx="3">
                  <c:v>Base</c:v>
                </c:pt>
              </c:strCache>
            </c:strRef>
          </c:cat>
          <c:val>
            <c:numRef>
              <c:f>Sheet1!$B$2:$B$5</c:f>
              <c:numCache>
                <c:formatCode>General</c:formatCode>
                <c:ptCount val="4"/>
                <c:pt idx="0">
                  <c:v>208.23999999999998</c:v>
                </c:pt>
                <c:pt idx="1">
                  <c:v>227.22</c:v>
                </c:pt>
                <c:pt idx="2">
                  <c:v>235.53</c:v>
                </c:pt>
                <c:pt idx="3">
                  <c:v>235.53</c:v>
                </c:pt>
              </c:numCache>
            </c:numRef>
          </c:val>
        </c:ser>
        <c:ser>
          <c:idx val="1"/>
          <c:order val="1"/>
          <c:tx>
            <c:strRef>
              <c:f>Sheet1!$C$1</c:f>
              <c:strCache>
                <c:ptCount val="1"/>
                <c:pt idx="0">
                  <c:v>Tank 2</c:v>
                </c:pt>
              </c:strCache>
            </c:strRef>
          </c:tx>
          <c:cat>
            <c:strRef>
              <c:f>Sheet1!$A$2:$A$5</c:f>
              <c:strCache>
                <c:ptCount val="4"/>
                <c:pt idx="0">
                  <c:v>3</c:v>
                </c:pt>
                <c:pt idx="1">
                  <c:v>2</c:v>
                </c:pt>
                <c:pt idx="2">
                  <c:v>1</c:v>
                </c:pt>
                <c:pt idx="3">
                  <c:v>Base</c:v>
                </c:pt>
              </c:strCache>
            </c:strRef>
          </c:cat>
          <c:val>
            <c:numRef>
              <c:f>Sheet1!$C$2:$C$5</c:f>
              <c:numCache>
                <c:formatCode>General</c:formatCode>
                <c:ptCount val="4"/>
                <c:pt idx="0">
                  <c:v>207.41</c:v>
                </c:pt>
                <c:pt idx="1">
                  <c:v>225.96</c:v>
                </c:pt>
                <c:pt idx="2">
                  <c:v>233.65</c:v>
                </c:pt>
                <c:pt idx="3">
                  <c:v>233.65</c:v>
                </c:pt>
              </c:numCache>
            </c:numRef>
          </c:val>
        </c:ser>
        <c:ser>
          <c:idx val="2"/>
          <c:order val="2"/>
          <c:tx>
            <c:strRef>
              <c:f>Sheet1!$D$1</c:f>
              <c:strCache>
                <c:ptCount val="1"/>
                <c:pt idx="0">
                  <c:v>Tank 3</c:v>
                </c:pt>
              </c:strCache>
            </c:strRef>
          </c:tx>
          <c:cat>
            <c:strRef>
              <c:f>Sheet1!$A$2:$A$5</c:f>
              <c:strCache>
                <c:ptCount val="4"/>
                <c:pt idx="0">
                  <c:v>3</c:v>
                </c:pt>
                <c:pt idx="1">
                  <c:v>2</c:v>
                </c:pt>
                <c:pt idx="2">
                  <c:v>1</c:v>
                </c:pt>
                <c:pt idx="3">
                  <c:v>Base</c:v>
                </c:pt>
              </c:strCache>
            </c:strRef>
          </c:cat>
          <c:val>
            <c:numRef>
              <c:f>Sheet1!$D$2:$D$5</c:f>
              <c:numCache>
                <c:formatCode>General</c:formatCode>
                <c:ptCount val="4"/>
                <c:pt idx="0">
                  <c:v>235.34</c:v>
                </c:pt>
                <c:pt idx="1">
                  <c:v>254.86</c:v>
                </c:pt>
                <c:pt idx="2">
                  <c:v>276.44</c:v>
                </c:pt>
                <c:pt idx="3">
                  <c:v>276.44</c:v>
                </c:pt>
              </c:numCache>
            </c:numRef>
          </c:val>
        </c:ser>
        <c:ser>
          <c:idx val="3"/>
          <c:order val="3"/>
          <c:tx>
            <c:strRef>
              <c:f>Sheet1!$E$1</c:f>
              <c:strCache>
                <c:ptCount val="1"/>
                <c:pt idx="0">
                  <c:v>Tank 4</c:v>
                </c:pt>
              </c:strCache>
            </c:strRef>
          </c:tx>
          <c:cat>
            <c:strRef>
              <c:f>Sheet1!$A$2:$A$5</c:f>
              <c:strCache>
                <c:ptCount val="4"/>
                <c:pt idx="0">
                  <c:v>3</c:v>
                </c:pt>
                <c:pt idx="1">
                  <c:v>2</c:v>
                </c:pt>
                <c:pt idx="2">
                  <c:v>1</c:v>
                </c:pt>
                <c:pt idx="3">
                  <c:v>Base</c:v>
                </c:pt>
              </c:strCache>
            </c:strRef>
          </c:cat>
          <c:val>
            <c:numRef>
              <c:f>Sheet1!$E$2:$E$5</c:f>
              <c:numCache>
                <c:formatCode>General</c:formatCode>
                <c:ptCount val="4"/>
                <c:pt idx="0">
                  <c:v>233.33</c:v>
                </c:pt>
                <c:pt idx="1">
                  <c:v>247.26</c:v>
                </c:pt>
                <c:pt idx="2">
                  <c:v>261.5</c:v>
                </c:pt>
                <c:pt idx="3">
                  <c:v>261.5</c:v>
                </c:pt>
              </c:numCache>
            </c:numRef>
          </c:val>
        </c:ser>
        <c:ser>
          <c:idx val="4"/>
          <c:order val="4"/>
          <c:tx>
            <c:strRef>
              <c:f>Sheet1!$F$1</c:f>
              <c:strCache>
                <c:ptCount val="1"/>
                <c:pt idx="0">
                  <c:v>Tank 5</c:v>
                </c:pt>
              </c:strCache>
            </c:strRef>
          </c:tx>
          <c:cat>
            <c:strRef>
              <c:f>Sheet1!$A$2:$A$5</c:f>
              <c:strCache>
                <c:ptCount val="4"/>
                <c:pt idx="0">
                  <c:v>3</c:v>
                </c:pt>
                <c:pt idx="1">
                  <c:v>2</c:v>
                </c:pt>
                <c:pt idx="2">
                  <c:v>1</c:v>
                </c:pt>
                <c:pt idx="3">
                  <c:v>Base</c:v>
                </c:pt>
              </c:strCache>
            </c:strRef>
          </c:cat>
          <c:val>
            <c:numRef>
              <c:f>Sheet1!$F$2:$F$5</c:f>
              <c:numCache>
                <c:formatCode>General</c:formatCode>
                <c:ptCount val="4"/>
                <c:pt idx="0">
                  <c:v>208.12</c:v>
                </c:pt>
                <c:pt idx="1">
                  <c:v>224.75</c:v>
                </c:pt>
                <c:pt idx="2">
                  <c:v>236.34</c:v>
                </c:pt>
                <c:pt idx="3">
                  <c:v>236.34</c:v>
                </c:pt>
              </c:numCache>
            </c:numRef>
          </c:val>
        </c:ser>
        <c:ser>
          <c:idx val="5"/>
          <c:order val="5"/>
          <c:tx>
            <c:strRef>
              <c:f>Sheet1!$G$1</c:f>
              <c:strCache>
                <c:ptCount val="1"/>
                <c:pt idx="0">
                  <c:v>Tank 6</c:v>
                </c:pt>
              </c:strCache>
            </c:strRef>
          </c:tx>
          <c:cat>
            <c:strRef>
              <c:f>Sheet1!$A$2:$A$5</c:f>
              <c:strCache>
                <c:ptCount val="4"/>
                <c:pt idx="0">
                  <c:v>3</c:v>
                </c:pt>
                <c:pt idx="1">
                  <c:v>2</c:v>
                </c:pt>
                <c:pt idx="2">
                  <c:v>1</c:v>
                </c:pt>
                <c:pt idx="3">
                  <c:v>Base</c:v>
                </c:pt>
              </c:strCache>
            </c:strRef>
          </c:cat>
          <c:val>
            <c:numRef>
              <c:f>Sheet1!$G$2:$G$5</c:f>
              <c:numCache>
                <c:formatCode>General</c:formatCode>
                <c:ptCount val="4"/>
                <c:pt idx="0">
                  <c:v>206.98000000000027</c:v>
                </c:pt>
                <c:pt idx="1">
                  <c:v>224.03</c:v>
                </c:pt>
                <c:pt idx="2">
                  <c:v>232.87</c:v>
                </c:pt>
                <c:pt idx="3">
                  <c:v>232.87</c:v>
                </c:pt>
              </c:numCache>
            </c:numRef>
          </c:val>
        </c:ser>
        <c:axId val="168612224"/>
        <c:axId val="168613760"/>
      </c:barChart>
      <c:catAx>
        <c:axId val="168612224"/>
        <c:scaling>
          <c:orientation val="minMax"/>
        </c:scaling>
        <c:axPos val="b"/>
        <c:tickLblPos val="nextTo"/>
        <c:txPr>
          <a:bodyPr/>
          <a:lstStyle/>
          <a:p>
            <a:pPr>
              <a:defRPr lang="en-US" sz="1200"/>
            </a:pPr>
            <a:endParaRPr lang="en-US"/>
          </a:p>
        </c:txPr>
        <c:crossAx val="168613760"/>
        <c:crosses val="autoZero"/>
        <c:auto val="1"/>
        <c:lblAlgn val="ctr"/>
        <c:lblOffset val="100"/>
      </c:catAx>
      <c:valAx>
        <c:axId val="168613760"/>
        <c:scaling>
          <c:orientation val="minMax"/>
        </c:scaling>
        <c:axPos val="l"/>
        <c:numFmt formatCode="General" sourceLinked="1"/>
        <c:tickLblPos val="nextTo"/>
        <c:txPr>
          <a:bodyPr/>
          <a:lstStyle/>
          <a:p>
            <a:pPr>
              <a:defRPr lang="en-US" sz="1100"/>
            </a:pPr>
            <a:endParaRPr lang="en-US"/>
          </a:p>
        </c:txPr>
        <c:crossAx val="168612224"/>
        <c:crosses val="autoZero"/>
        <c:crossBetween val="between"/>
      </c:valAx>
    </c:plotArea>
    <c:legend>
      <c:legendPos val="r"/>
      <c:txPr>
        <a:bodyPr/>
        <a:lstStyle/>
        <a:p>
          <a:pPr>
            <a:defRPr lang="en-US" sz="1200"/>
          </a:pPr>
          <a:endParaRPr lang="en-US"/>
        </a:p>
      </c:txPr>
    </c:legend>
    <c:plotVisOnly val="1"/>
  </c:chart>
  <c:spPr>
    <a:ln>
      <a:solidFill>
        <a:schemeClr val="bg1"/>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Sheet1!$B$1</c:f>
              <c:strCache>
                <c:ptCount val="1"/>
                <c:pt idx="0">
                  <c:v>Tank 1</c:v>
                </c:pt>
              </c:strCache>
            </c:strRef>
          </c:tx>
          <c:cat>
            <c:strRef>
              <c:f>Sheet1!$A$2:$A$4</c:f>
              <c:strCache>
                <c:ptCount val="3"/>
                <c:pt idx="0">
                  <c:v>Δx max</c:v>
                </c:pt>
                <c:pt idx="1">
                  <c:v>Δy max</c:v>
                </c:pt>
                <c:pt idx="2">
                  <c:v>Δz max</c:v>
                </c:pt>
              </c:strCache>
            </c:strRef>
          </c:cat>
          <c:val>
            <c:numRef>
              <c:f>Sheet1!$B$2:$B$4</c:f>
              <c:numCache>
                <c:formatCode>General</c:formatCode>
                <c:ptCount val="3"/>
                <c:pt idx="0">
                  <c:v>17.029</c:v>
                </c:pt>
                <c:pt idx="1">
                  <c:v>18.603000000000005</c:v>
                </c:pt>
                <c:pt idx="2">
                  <c:v>13.38</c:v>
                </c:pt>
              </c:numCache>
            </c:numRef>
          </c:val>
        </c:ser>
        <c:ser>
          <c:idx val="1"/>
          <c:order val="1"/>
          <c:tx>
            <c:strRef>
              <c:f>Sheet1!$C$1</c:f>
              <c:strCache>
                <c:ptCount val="1"/>
                <c:pt idx="0">
                  <c:v>Tank 2</c:v>
                </c:pt>
              </c:strCache>
            </c:strRef>
          </c:tx>
          <c:cat>
            <c:strRef>
              <c:f>Sheet1!$A$2:$A$4</c:f>
              <c:strCache>
                <c:ptCount val="3"/>
                <c:pt idx="0">
                  <c:v>Δx max</c:v>
                </c:pt>
                <c:pt idx="1">
                  <c:v>Δy max</c:v>
                </c:pt>
                <c:pt idx="2">
                  <c:v>Δz max</c:v>
                </c:pt>
              </c:strCache>
            </c:strRef>
          </c:cat>
          <c:val>
            <c:numRef>
              <c:f>Sheet1!$C$2:$C$4</c:f>
              <c:numCache>
                <c:formatCode>General</c:formatCode>
                <c:ptCount val="3"/>
                <c:pt idx="0">
                  <c:v>17.821000000000005</c:v>
                </c:pt>
                <c:pt idx="1">
                  <c:v>19.437000000000001</c:v>
                </c:pt>
                <c:pt idx="2">
                  <c:v>13.771000000000001</c:v>
                </c:pt>
              </c:numCache>
            </c:numRef>
          </c:val>
        </c:ser>
        <c:ser>
          <c:idx val="2"/>
          <c:order val="2"/>
          <c:tx>
            <c:strRef>
              <c:f>Sheet1!$D$1</c:f>
              <c:strCache>
                <c:ptCount val="1"/>
                <c:pt idx="0">
                  <c:v>Tank 3</c:v>
                </c:pt>
              </c:strCache>
            </c:strRef>
          </c:tx>
          <c:cat>
            <c:strRef>
              <c:f>Sheet1!$A$2:$A$4</c:f>
              <c:strCache>
                <c:ptCount val="3"/>
                <c:pt idx="0">
                  <c:v>Δx max</c:v>
                </c:pt>
                <c:pt idx="1">
                  <c:v>Δy max</c:v>
                </c:pt>
                <c:pt idx="2">
                  <c:v>Δz max</c:v>
                </c:pt>
              </c:strCache>
            </c:strRef>
          </c:cat>
          <c:val>
            <c:numRef>
              <c:f>Sheet1!$D$2:$D$4</c:f>
              <c:numCache>
                <c:formatCode>General</c:formatCode>
                <c:ptCount val="3"/>
                <c:pt idx="0">
                  <c:v>16.928999999999931</c:v>
                </c:pt>
                <c:pt idx="1">
                  <c:v>17.603000000000005</c:v>
                </c:pt>
                <c:pt idx="2">
                  <c:v>12.98</c:v>
                </c:pt>
              </c:numCache>
            </c:numRef>
          </c:val>
        </c:ser>
        <c:ser>
          <c:idx val="3"/>
          <c:order val="3"/>
          <c:tx>
            <c:strRef>
              <c:f>Sheet1!$E$1</c:f>
              <c:strCache>
                <c:ptCount val="1"/>
                <c:pt idx="0">
                  <c:v>Tank 4</c:v>
                </c:pt>
              </c:strCache>
            </c:strRef>
          </c:tx>
          <c:cat>
            <c:strRef>
              <c:f>Sheet1!$A$2:$A$4</c:f>
              <c:strCache>
                <c:ptCount val="3"/>
                <c:pt idx="0">
                  <c:v>Δx max</c:v>
                </c:pt>
                <c:pt idx="1">
                  <c:v>Δy max</c:v>
                </c:pt>
                <c:pt idx="2">
                  <c:v>Δz max</c:v>
                </c:pt>
              </c:strCache>
            </c:strRef>
          </c:cat>
          <c:val>
            <c:numRef>
              <c:f>Sheet1!$E$2:$E$4</c:f>
              <c:numCache>
                <c:formatCode>General</c:formatCode>
                <c:ptCount val="3"/>
                <c:pt idx="0">
                  <c:v>17.001999999999999</c:v>
                </c:pt>
                <c:pt idx="1">
                  <c:v>18.763999999999989</c:v>
                </c:pt>
                <c:pt idx="2">
                  <c:v>13.051</c:v>
                </c:pt>
              </c:numCache>
            </c:numRef>
          </c:val>
        </c:ser>
        <c:ser>
          <c:idx val="4"/>
          <c:order val="4"/>
          <c:tx>
            <c:strRef>
              <c:f>Sheet1!$F$1</c:f>
              <c:strCache>
                <c:ptCount val="1"/>
                <c:pt idx="0">
                  <c:v>Tank 5</c:v>
                </c:pt>
              </c:strCache>
            </c:strRef>
          </c:tx>
          <c:cat>
            <c:strRef>
              <c:f>Sheet1!$A$2:$A$4</c:f>
              <c:strCache>
                <c:ptCount val="3"/>
                <c:pt idx="0">
                  <c:v>Δx max</c:v>
                </c:pt>
                <c:pt idx="1">
                  <c:v>Δy max</c:v>
                </c:pt>
                <c:pt idx="2">
                  <c:v>Δz max</c:v>
                </c:pt>
              </c:strCache>
            </c:strRef>
          </c:cat>
          <c:val>
            <c:numRef>
              <c:f>Sheet1!$F$2:$F$4</c:f>
              <c:numCache>
                <c:formatCode>General</c:formatCode>
                <c:ptCount val="3"/>
                <c:pt idx="0">
                  <c:v>17.523</c:v>
                </c:pt>
                <c:pt idx="1">
                  <c:v>18.346</c:v>
                </c:pt>
                <c:pt idx="2">
                  <c:v>14.012</c:v>
                </c:pt>
              </c:numCache>
            </c:numRef>
          </c:val>
        </c:ser>
        <c:ser>
          <c:idx val="5"/>
          <c:order val="5"/>
          <c:tx>
            <c:strRef>
              <c:f>Sheet1!$G$1</c:f>
              <c:strCache>
                <c:ptCount val="1"/>
                <c:pt idx="0">
                  <c:v>Tank 6</c:v>
                </c:pt>
              </c:strCache>
            </c:strRef>
          </c:tx>
          <c:cat>
            <c:strRef>
              <c:f>Sheet1!$A$2:$A$4</c:f>
              <c:strCache>
                <c:ptCount val="3"/>
                <c:pt idx="0">
                  <c:v>Δx max</c:v>
                </c:pt>
                <c:pt idx="1">
                  <c:v>Δy max</c:v>
                </c:pt>
                <c:pt idx="2">
                  <c:v>Δz max</c:v>
                </c:pt>
              </c:strCache>
            </c:strRef>
          </c:cat>
          <c:val>
            <c:numRef>
              <c:f>Sheet1!$G$2:$G$4</c:f>
              <c:numCache>
                <c:formatCode>General</c:formatCode>
                <c:ptCount val="3"/>
                <c:pt idx="0">
                  <c:v>17.93</c:v>
                </c:pt>
                <c:pt idx="1">
                  <c:v>19.544</c:v>
                </c:pt>
                <c:pt idx="2">
                  <c:v>14.081</c:v>
                </c:pt>
              </c:numCache>
            </c:numRef>
          </c:val>
        </c:ser>
        <c:axId val="112024576"/>
        <c:axId val="112055040"/>
      </c:barChart>
      <c:catAx>
        <c:axId val="112024576"/>
        <c:scaling>
          <c:orientation val="minMax"/>
        </c:scaling>
        <c:axPos val="b"/>
        <c:tickLblPos val="nextTo"/>
        <c:txPr>
          <a:bodyPr/>
          <a:lstStyle/>
          <a:p>
            <a:pPr>
              <a:defRPr lang="en-US" sz="1200"/>
            </a:pPr>
            <a:endParaRPr lang="en-US"/>
          </a:p>
        </c:txPr>
        <c:crossAx val="112055040"/>
        <c:crosses val="autoZero"/>
        <c:auto val="1"/>
        <c:lblAlgn val="ctr"/>
        <c:lblOffset val="100"/>
      </c:catAx>
      <c:valAx>
        <c:axId val="112055040"/>
        <c:scaling>
          <c:orientation val="minMax"/>
        </c:scaling>
        <c:axPos val="l"/>
        <c:numFmt formatCode="General" sourceLinked="1"/>
        <c:tickLblPos val="nextTo"/>
        <c:txPr>
          <a:bodyPr/>
          <a:lstStyle/>
          <a:p>
            <a:pPr>
              <a:defRPr lang="en-US" sz="1100"/>
            </a:pPr>
            <a:endParaRPr lang="en-US"/>
          </a:p>
        </c:txPr>
        <c:crossAx val="112024576"/>
        <c:crosses val="autoZero"/>
        <c:crossBetween val="between"/>
      </c:valAx>
    </c:plotArea>
    <c:legend>
      <c:legendPos val="r"/>
      <c:txPr>
        <a:bodyPr/>
        <a:lstStyle/>
        <a:p>
          <a:pPr>
            <a:defRPr lang="en-US" sz="1200"/>
          </a:pPr>
          <a:endParaRPr lang="en-US"/>
        </a:p>
      </c:txPr>
    </c:legend>
    <c:plotVisOnly val="1"/>
  </c:chart>
  <c:spPr>
    <a:ln>
      <a:solidFill>
        <a:schemeClr val="bg1"/>
      </a:solid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style val="6"/>
  <c:chart>
    <c:title>
      <c:tx>
        <c:rich>
          <a:bodyPr/>
          <a:lstStyle/>
          <a:p>
            <a:pPr>
              <a:defRPr lang="en-US" sz="1200"/>
            </a:pPr>
            <a:r>
              <a:rPr sz="1000"/>
              <a:t>Approximate Total Cost of materials (in Lacs)</a:t>
            </a:r>
          </a:p>
        </c:rich>
      </c:tx>
      <c:layout>
        <c:manualLayout>
          <c:xMode val="edge"/>
          <c:yMode val="edge"/>
          <c:x val="0.19527665821433338"/>
          <c:y val="5.3191489361702107E-2"/>
        </c:manualLayout>
      </c:layout>
    </c:title>
    <c:view3D>
      <c:rAngAx val="1"/>
    </c:view3D>
    <c:plotArea>
      <c:layout>
        <c:manualLayout>
          <c:layoutTarget val="inner"/>
          <c:xMode val="edge"/>
          <c:yMode val="edge"/>
          <c:x val="3.0683403068340314E-2"/>
          <c:y val="0.1346083150264524"/>
          <c:w val="0.91352859135285902"/>
          <c:h val="0.67947374916693393"/>
        </c:manualLayout>
      </c:layout>
      <c:bar3DChart>
        <c:barDir val="col"/>
        <c:grouping val="clustered"/>
        <c:ser>
          <c:idx val="0"/>
          <c:order val="0"/>
          <c:tx>
            <c:strRef>
              <c:f>Sheet1!$B$1</c:f>
              <c:strCache>
                <c:ptCount val="1"/>
                <c:pt idx="0">
                  <c:v>Approximate Total Cost of materials (in Lacs)</c:v>
                </c:pt>
              </c:strCache>
            </c:strRef>
          </c:tx>
          <c:dLbls>
            <c:txPr>
              <a:bodyPr/>
              <a:lstStyle/>
              <a:p>
                <a:pPr>
                  <a:defRPr lang="en-US"/>
                </a:pPr>
                <a:endParaRPr lang="en-US"/>
              </a:p>
            </c:txPr>
            <c:showVal val="1"/>
          </c:dLbls>
          <c:cat>
            <c:strRef>
              <c:f>Sheet1!$A$2:$A$7</c:f>
              <c:strCache>
                <c:ptCount val="6"/>
                <c:pt idx="0">
                  <c:v>Tank 1</c:v>
                </c:pt>
                <c:pt idx="1">
                  <c:v>Tank 2</c:v>
                </c:pt>
                <c:pt idx="2">
                  <c:v>Tank 3</c:v>
                </c:pt>
                <c:pt idx="3">
                  <c:v>Tank 4</c:v>
                </c:pt>
                <c:pt idx="4">
                  <c:v>Tank 5</c:v>
                </c:pt>
                <c:pt idx="5">
                  <c:v>Tank 6</c:v>
                </c:pt>
              </c:strCache>
            </c:strRef>
          </c:cat>
          <c:val>
            <c:numRef>
              <c:f>Sheet1!$B$2:$B$7</c:f>
              <c:numCache>
                <c:formatCode>General</c:formatCode>
                <c:ptCount val="6"/>
                <c:pt idx="0">
                  <c:v>5.05</c:v>
                </c:pt>
                <c:pt idx="1">
                  <c:v>5.1069999999999975</c:v>
                </c:pt>
                <c:pt idx="2">
                  <c:v>4.7290000000000001</c:v>
                </c:pt>
                <c:pt idx="3">
                  <c:v>4.7279999999999855</c:v>
                </c:pt>
                <c:pt idx="4">
                  <c:v>4.9870000000000001</c:v>
                </c:pt>
                <c:pt idx="5">
                  <c:v>4.9930000000000003</c:v>
                </c:pt>
              </c:numCache>
            </c:numRef>
          </c:val>
        </c:ser>
        <c:dLbls>
          <c:showVal val="1"/>
        </c:dLbls>
        <c:shape val="cylinder"/>
        <c:axId val="112116480"/>
        <c:axId val="112118016"/>
        <c:axId val="0"/>
      </c:bar3DChart>
      <c:catAx>
        <c:axId val="112116480"/>
        <c:scaling>
          <c:orientation val="minMax"/>
        </c:scaling>
        <c:axPos val="b"/>
        <c:majorTickMark val="none"/>
        <c:tickLblPos val="nextTo"/>
        <c:txPr>
          <a:bodyPr/>
          <a:lstStyle/>
          <a:p>
            <a:pPr>
              <a:defRPr lang="en-US"/>
            </a:pPr>
            <a:endParaRPr lang="en-US"/>
          </a:p>
        </c:txPr>
        <c:crossAx val="112118016"/>
        <c:crosses val="autoZero"/>
        <c:auto val="1"/>
        <c:lblAlgn val="ctr"/>
        <c:lblOffset val="100"/>
      </c:catAx>
      <c:valAx>
        <c:axId val="112118016"/>
        <c:scaling>
          <c:orientation val="minMax"/>
        </c:scaling>
        <c:delete val="1"/>
        <c:axPos val="l"/>
        <c:numFmt formatCode="General" sourceLinked="1"/>
        <c:majorTickMark val="none"/>
        <c:tickLblPos val="none"/>
        <c:crossAx val="112116480"/>
        <c:crosses val="autoZero"/>
        <c:crossBetween val="between"/>
      </c:valAx>
    </c:plotArea>
    <c:plotVisOnly val="1"/>
  </c:chart>
  <c:spPr>
    <a:ln>
      <a:solidFill>
        <a:schemeClr val="bg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1650</TotalTime>
  <Pages>10</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dc:creator>
  <cp:keywords/>
  <dc:description/>
  <cp:lastModifiedBy>Microsoft</cp:lastModifiedBy>
  <cp:revision>473</cp:revision>
  <dcterms:created xsi:type="dcterms:W3CDTF">2015-12-11T12:18:00Z</dcterms:created>
  <dcterms:modified xsi:type="dcterms:W3CDTF">2019-05-27T12:40:00Z</dcterms:modified>
</cp:coreProperties>
</file>