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A6FEA" w14:textId="77777777" w:rsidR="004040B7" w:rsidRDefault="004040B7" w:rsidP="00D8377D">
      <w:pPr>
        <w:spacing w:line="276" w:lineRule="auto"/>
        <w:ind w:right="1111"/>
        <w:jc w:val="center"/>
        <w:rPr>
          <w:b/>
          <w:position w:val="-1"/>
          <w:sz w:val="46"/>
          <w:szCs w:val="46"/>
        </w:rPr>
      </w:pPr>
      <w:bookmarkStart w:id="0" w:name="_GoBack"/>
      <w:bookmarkEnd w:id="0"/>
    </w:p>
    <w:p w14:paraId="101DA933" w14:textId="267D0266" w:rsidR="008A1A2B" w:rsidRPr="00085E8A" w:rsidRDefault="001342C9" w:rsidP="004040B7">
      <w:pPr>
        <w:spacing w:line="276" w:lineRule="auto"/>
        <w:ind w:right="-46"/>
        <w:jc w:val="center"/>
        <w:rPr>
          <w:b/>
          <w:position w:val="-1"/>
          <w:sz w:val="46"/>
          <w:szCs w:val="46"/>
        </w:rPr>
      </w:pPr>
      <w:r>
        <w:rPr>
          <w:b/>
          <w:position w:val="-1"/>
          <w:sz w:val="46"/>
          <w:szCs w:val="46"/>
        </w:rPr>
        <w:t xml:space="preserve">Prediction and Severity Estimation </w:t>
      </w:r>
      <w:r w:rsidR="00D8377D">
        <w:rPr>
          <w:b/>
          <w:position w:val="-1"/>
          <w:sz w:val="46"/>
          <w:szCs w:val="46"/>
        </w:rPr>
        <w:t xml:space="preserve">of </w:t>
      </w:r>
      <w:r>
        <w:rPr>
          <w:b/>
          <w:position w:val="-1"/>
          <w:sz w:val="46"/>
          <w:szCs w:val="46"/>
        </w:rPr>
        <w:t>Diabetes Using Data Mining</w:t>
      </w:r>
    </w:p>
    <w:p w14:paraId="4B9329F3" w14:textId="77777777" w:rsidR="00C25C21" w:rsidRDefault="00C25C21" w:rsidP="00C762A2">
      <w:pPr>
        <w:spacing w:line="276" w:lineRule="auto"/>
        <w:ind w:right="1111"/>
        <w:jc w:val="center"/>
        <w:rPr>
          <w:b/>
          <w:sz w:val="24"/>
          <w:szCs w:val="24"/>
        </w:rPr>
      </w:pPr>
    </w:p>
    <w:p w14:paraId="5CF0BE6D" w14:textId="1AE72ECC" w:rsidR="008A1A2B" w:rsidRDefault="007A1808" w:rsidP="00D8377D">
      <w:pPr>
        <w:spacing w:line="276" w:lineRule="auto"/>
        <w:ind w:right="-1000"/>
        <w:jc w:val="center"/>
        <w:rPr>
          <w:b/>
          <w:sz w:val="24"/>
          <w:szCs w:val="24"/>
          <w:vertAlign w:val="superscript"/>
        </w:rPr>
      </w:pPr>
      <w:r>
        <w:rPr>
          <w:b/>
          <w:sz w:val="24"/>
          <w:szCs w:val="24"/>
        </w:rPr>
        <w:t xml:space="preserve">Prof. </w:t>
      </w:r>
      <w:proofErr w:type="spellStart"/>
      <w:r w:rsidR="009729BA">
        <w:rPr>
          <w:b/>
          <w:sz w:val="24"/>
          <w:szCs w:val="24"/>
        </w:rPr>
        <w:t>Pramod</w:t>
      </w:r>
      <w:proofErr w:type="spellEnd"/>
      <w:r w:rsidR="009729BA">
        <w:rPr>
          <w:b/>
          <w:sz w:val="24"/>
          <w:szCs w:val="24"/>
        </w:rPr>
        <w:t xml:space="preserve"> B Gosavi</w:t>
      </w:r>
      <w:r>
        <w:rPr>
          <w:b/>
          <w:sz w:val="24"/>
          <w:szCs w:val="24"/>
          <w:vertAlign w:val="superscript"/>
        </w:rPr>
        <w:t>1</w:t>
      </w:r>
      <w:r w:rsidR="008A1A2B">
        <w:rPr>
          <w:b/>
          <w:sz w:val="24"/>
          <w:szCs w:val="24"/>
        </w:rPr>
        <w:t>,</w:t>
      </w:r>
      <w:r w:rsidR="00C10E24">
        <w:rPr>
          <w:b/>
          <w:sz w:val="24"/>
          <w:szCs w:val="24"/>
        </w:rPr>
        <w:t xml:space="preserve"> </w:t>
      </w:r>
      <w:proofErr w:type="spellStart"/>
      <w:r w:rsidR="009729BA">
        <w:rPr>
          <w:b/>
          <w:sz w:val="24"/>
          <w:szCs w:val="24"/>
        </w:rPr>
        <w:t>Gopal</w:t>
      </w:r>
      <w:proofErr w:type="spellEnd"/>
      <w:r w:rsidR="009729BA">
        <w:rPr>
          <w:b/>
          <w:sz w:val="24"/>
          <w:szCs w:val="24"/>
        </w:rPr>
        <w:t xml:space="preserve"> Yelve</w:t>
      </w:r>
      <w:r w:rsidR="00DB77E8">
        <w:rPr>
          <w:b/>
          <w:sz w:val="24"/>
          <w:szCs w:val="24"/>
          <w:vertAlign w:val="superscript"/>
        </w:rPr>
        <w:t>2</w:t>
      </w:r>
      <w:r w:rsidR="00DB77E8">
        <w:rPr>
          <w:b/>
          <w:sz w:val="24"/>
          <w:szCs w:val="24"/>
        </w:rPr>
        <w:t>,</w:t>
      </w:r>
      <w:r w:rsidR="0094069D">
        <w:rPr>
          <w:b/>
          <w:sz w:val="24"/>
          <w:szCs w:val="24"/>
        </w:rPr>
        <w:t xml:space="preserve"> </w:t>
      </w:r>
      <w:proofErr w:type="spellStart"/>
      <w:r w:rsidR="00DB77E8">
        <w:rPr>
          <w:b/>
          <w:sz w:val="24"/>
          <w:szCs w:val="24"/>
        </w:rPr>
        <w:t>Khushal</w:t>
      </w:r>
      <w:proofErr w:type="spellEnd"/>
      <w:r w:rsidR="009729BA">
        <w:rPr>
          <w:b/>
          <w:sz w:val="24"/>
          <w:szCs w:val="24"/>
        </w:rPr>
        <w:t xml:space="preserve"> Patil</w:t>
      </w:r>
      <w:r>
        <w:rPr>
          <w:b/>
          <w:sz w:val="24"/>
          <w:szCs w:val="24"/>
          <w:vertAlign w:val="superscript"/>
        </w:rPr>
        <w:t>3</w:t>
      </w:r>
      <w:r>
        <w:rPr>
          <w:b/>
          <w:sz w:val="24"/>
          <w:szCs w:val="24"/>
        </w:rPr>
        <w:t>,</w:t>
      </w:r>
      <w:r w:rsidR="0094069D">
        <w:rPr>
          <w:b/>
          <w:sz w:val="24"/>
          <w:szCs w:val="24"/>
        </w:rPr>
        <w:t xml:space="preserve"> </w:t>
      </w:r>
      <w:proofErr w:type="spellStart"/>
      <w:r w:rsidR="009729BA">
        <w:rPr>
          <w:b/>
          <w:sz w:val="24"/>
          <w:szCs w:val="24"/>
        </w:rPr>
        <w:t>Chetan</w:t>
      </w:r>
      <w:proofErr w:type="spellEnd"/>
      <w:r w:rsidR="009729BA">
        <w:rPr>
          <w:b/>
          <w:sz w:val="24"/>
          <w:szCs w:val="24"/>
        </w:rPr>
        <w:t xml:space="preserve"> Sonawane</w:t>
      </w:r>
      <w:r>
        <w:rPr>
          <w:b/>
          <w:sz w:val="24"/>
          <w:szCs w:val="24"/>
          <w:vertAlign w:val="superscript"/>
        </w:rPr>
        <w:t>4</w:t>
      </w:r>
      <w:r w:rsidR="008A1A2B">
        <w:rPr>
          <w:b/>
          <w:sz w:val="24"/>
          <w:szCs w:val="24"/>
        </w:rPr>
        <w:t>,</w:t>
      </w:r>
      <w:r w:rsidR="0094069D">
        <w:rPr>
          <w:b/>
          <w:sz w:val="24"/>
          <w:szCs w:val="24"/>
        </w:rPr>
        <w:t xml:space="preserve"> </w:t>
      </w:r>
      <w:proofErr w:type="spellStart"/>
      <w:r w:rsidR="009729BA">
        <w:rPr>
          <w:b/>
          <w:sz w:val="24"/>
          <w:szCs w:val="24"/>
        </w:rPr>
        <w:t>Sandip</w:t>
      </w:r>
      <w:proofErr w:type="spellEnd"/>
      <w:r w:rsidR="009729BA">
        <w:rPr>
          <w:b/>
          <w:sz w:val="24"/>
          <w:szCs w:val="24"/>
        </w:rPr>
        <w:t xml:space="preserve"> Pawar</w:t>
      </w:r>
      <w:r>
        <w:rPr>
          <w:b/>
          <w:sz w:val="24"/>
          <w:szCs w:val="24"/>
          <w:vertAlign w:val="superscript"/>
        </w:rPr>
        <w:t>5</w:t>
      </w:r>
    </w:p>
    <w:p w14:paraId="1AC63E95" w14:textId="23606564" w:rsidR="007A1808" w:rsidRPr="00537378" w:rsidRDefault="007A1808" w:rsidP="004040B7">
      <w:pPr>
        <w:ind w:right="95"/>
        <w:jc w:val="center"/>
        <w:rPr>
          <w:i/>
          <w:position w:val="-1"/>
        </w:rPr>
      </w:pPr>
      <w:r w:rsidRPr="00537378">
        <w:rPr>
          <w:i/>
          <w:vertAlign w:val="superscript"/>
        </w:rPr>
        <w:t>1</w:t>
      </w:r>
      <w:r w:rsidR="00D8377D">
        <w:rPr>
          <w:i/>
        </w:rPr>
        <w:t>Asso.</w:t>
      </w:r>
      <w:r w:rsidRPr="00537378">
        <w:rPr>
          <w:i/>
        </w:rPr>
        <w:t xml:space="preserve"> Prof. </w:t>
      </w:r>
      <w:r w:rsidRPr="00537378">
        <w:rPr>
          <w:i/>
          <w:vertAlign w:val="superscript"/>
        </w:rPr>
        <w:t>2</w:t>
      </w:r>
      <w:r w:rsidR="00D8377D">
        <w:rPr>
          <w:i/>
          <w:vertAlign w:val="superscript"/>
        </w:rPr>
        <w:t xml:space="preserve">,3,4,5 </w:t>
      </w:r>
      <w:r w:rsidR="00D8377D">
        <w:rPr>
          <w:i/>
        </w:rPr>
        <w:t>B.E. students</w:t>
      </w:r>
    </w:p>
    <w:p w14:paraId="425B8B95" w14:textId="333A1B93" w:rsidR="00537378" w:rsidRDefault="00D56076" w:rsidP="004040B7">
      <w:pPr>
        <w:ind w:left="720" w:right="95"/>
        <w:jc w:val="center"/>
        <w:rPr>
          <w:i/>
          <w:w w:val="99"/>
        </w:rPr>
      </w:pPr>
      <w:r w:rsidRPr="00537378">
        <w:rPr>
          <w:i/>
          <w:w w:val="99"/>
          <w:vertAlign w:val="superscript"/>
        </w:rPr>
        <w:t xml:space="preserve">12345 </w:t>
      </w:r>
      <w:r w:rsidRPr="00537378">
        <w:rPr>
          <w:i/>
          <w:w w:val="99"/>
        </w:rPr>
        <w:t xml:space="preserve">Department Of </w:t>
      </w:r>
      <w:r w:rsidR="00F207C3" w:rsidRPr="00537378">
        <w:rPr>
          <w:i/>
          <w:w w:val="99"/>
        </w:rPr>
        <w:t>Computer</w:t>
      </w:r>
      <w:r w:rsidRPr="00537378">
        <w:rPr>
          <w:i/>
          <w:w w:val="99"/>
        </w:rPr>
        <w:t xml:space="preserve"> Engineering, </w:t>
      </w:r>
      <w:r w:rsidR="004040B7" w:rsidRPr="00537378">
        <w:rPr>
          <w:i/>
          <w:w w:val="99"/>
        </w:rPr>
        <w:t>G</w:t>
      </w:r>
      <w:r w:rsidR="004040B7">
        <w:rPr>
          <w:i/>
          <w:w w:val="99"/>
        </w:rPr>
        <w:t xml:space="preserve">F’s </w:t>
      </w:r>
      <w:r w:rsidR="004040B7" w:rsidRPr="00537378">
        <w:rPr>
          <w:i/>
          <w:w w:val="99"/>
        </w:rPr>
        <w:t>Godavari</w:t>
      </w:r>
      <w:r w:rsidRPr="00537378">
        <w:rPr>
          <w:i/>
          <w:w w:val="99"/>
        </w:rPr>
        <w:t xml:space="preserve"> College</w:t>
      </w:r>
      <w:r w:rsidR="00D8377D">
        <w:rPr>
          <w:i/>
          <w:w w:val="99"/>
        </w:rPr>
        <w:t xml:space="preserve"> </w:t>
      </w:r>
      <w:proofErr w:type="gramStart"/>
      <w:r w:rsidR="00C762A2" w:rsidRPr="00537378">
        <w:rPr>
          <w:i/>
          <w:w w:val="99"/>
        </w:rPr>
        <w:t>Of</w:t>
      </w:r>
      <w:proofErr w:type="gramEnd"/>
      <w:r w:rsidRPr="00537378">
        <w:rPr>
          <w:i/>
          <w:w w:val="99"/>
        </w:rPr>
        <w:t xml:space="preserve"> Engineering, Jalgaon</w:t>
      </w:r>
      <w:r w:rsidR="00537378">
        <w:rPr>
          <w:i/>
          <w:w w:val="99"/>
        </w:rPr>
        <w:t>-</w:t>
      </w:r>
      <w:r w:rsidR="00537378" w:rsidRPr="00537378">
        <w:rPr>
          <w:i/>
          <w:w w:val="99"/>
        </w:rPr>
        <w:t>425003</w:t>
      </w:r>
      <w:r w:rsidRPr="00537378">
        <w:rPr>
          <w:i/>
          <w:w w:val="99"/>
        </w:rPr>
        <w:t>, India,</w:t>
      </w:r>
    </w:p>
    <w:p w14:paraId="1379FF87" w14:textId="77777777" w:rsidR="00434E2D" w:rsidRDefault="00434E2D" w:rsidP="00085E8A">
      <w:pPr>
        <w:spacing w:line="276" w:lineRule="auto"/>
        <w:ind w:left="5013" w:right="5023"/>
        <w:jc w:val="center"/>
        <w:rPr>
          <w:sz w:val="13"/>
          <w:szCs w:val="13"/>
        </w:rPr>
        <w:sectPr w:rsidR="00434E2D" w:rsidSect="004040B7">
          <w:headerReference w:type="default" r:id="rId9"/>
          <w:footerReference w:type="default" r:id="rId10"/>
          <w:pgSz w:w="12240" w:h="15840"/>
          <w:pgMar w:top="2080" w:right="1040" w:bottom="280" w:left="1040" w:header="745" w:footer="0" w:gutter="0"/>
          <w:pgNumType w:start="23"/>
          <w:cols w:space="720"/>
        </w:sectPr>
      </w:pPr>
    </w:p>
    <w:p w14:paraId="4A4CA227" w14:textId="77777777" w:rsidR="00537378" w:rsidRDefault="00537378" w:rsidP="00AA4FF7">
      <w:pPr>
        <w:spacing w:before="85" w:line="276" w:lineRule="auto"/>
        <w:jc w:val="both"/>
        <w:rPr>
          <w:b/>
          <w:i/>
        </w:rPr>
      </w:pPr>
    </w:p>
    <w:p w14:paraId="6F22658C" w14:textId="77777777" w:rsidR="00D8377D" w:rsidRDefault="00D8377D" w:rsidP="00AA4FF7">
      <w:pPr>
        <w:spacing w:before="85" w:line="276" w:lineRule="auto"/>
        <w:jc w:val="both"/>
        <w:rPr>
          <w:b/>
          <w:i/>
        </w:rPr>
      </w:pPr>
    </w:p>
    <w:p w14:paraId="78F59046" w14:textId="77777777" w:rsidR="00273950" w:rsidRDefault="00F207C3" w:rsidP="00362039">
      <w:pPr>
        <w:shd w:val="clear" w:color="auto" w:fill="FFFFFF"/>
        <w:spacing w:line="276" w:lineRule="auto"/>
        <w:jc w:val="both"/>
        <w:rPr>
          <w:i/>
          <w:iCs/>
        </w:rPr>
      </w:pPr>
      <w:r w:rsidRPr="009C7953">
        <w:rPr>
          <w:b/>
          <w:i/>
        </w:rPr>
        <w:t>Abstract</w:t>
      </w:r>
      <w:r w:rsidR="004F4CC0" w:rsidRPr="009C7953">
        <w:rPr>
          <w:b/>
          <w:i/>
        </w:rPr>
        <w:t>:</w:t>
      </w:r>
      <w:r w:rsidR="0002337B">
        <w:rPr>
          <w:b/>
          <w:i/>
        </w:rPr>
        <w:t xml:space="preserve"> </w:t>
      </w:r>
      <w:r w:rsidR="004F4CC0" w:rsidRPr="009C7953">
        <w:rPr>
          <w:b/>
          <w:i/>
        </w:rPr>
        <w:t>-</w:t>
      </w:r>
      <w:r w:rsidR="00273950" w:rsidRPr="00273950">
        <w:rPr>
          <w:sz w:val="24"/>
          <w:szCs w:val="24"/>
        </w:rPr>
        <w:t xml:space="preserve"> </w:t>
      </w:r>
      <w:r w:rsidR="00273950" w:rsidRPr="00273950">
        <w:rPr>
          <w:i/>
          <w:iCs/>
        </w:rPr>
        <w:t xml:space="preserve">This paper proposes a novel temporal knowledge representation and learning framework to perform large-scale temporal signature mining of longitudinal heterogeneous event data. The framework enables the representation, extraction, and mining of high order latent event structure and relationships within single and multiple event sequences. The proposed knowledge representation maps the heterogeneous event sequences to a geometric image by encoding events as a structured spatial-temporal shape process. We present a doubly constrained convolutional sparse coding framework that learns interpretable and shift-invariant latent temporal event signatures. We show how to cope with the </w:t>
      </w:r>
      <w:proofErr w:type="spellStart"/>
      <w:r w:rsidR="00273950" w:rsidRPr="00273950">
        <w:rPr>
          <w:i/>
          <w:iCs/>
        </w:rPr>
        <w:t>sparsity</w:t>
      </w:r>
      <w:proofErr w:type="spellEnd"/>
      <w:r w:rsidR="00273950" w:rsidRPr="00273950">
        <w:rPr>
          <w:i/>
          <w:iCs/>
        </w:rPr>
        <w:t xml:space="preserve"> in the data as well as in the latent factor model by inducing a double </w:t>
      </w:r>
      <w:proofErr w:type="spellStart"/>
      <w:r w:rsidR="00273950" w:rsidRPr="00273950">
        <w:rPr>
          <w:i/>
          <w:iCs/>
        </w:rPr>
        <w:t>sparsity</w:t>
      </w:r>
      <w:proofErr w:type="spellEnd"/>
      <w:r w:rsidR="00273950" w:rsidRPr="00273950">
        <w:rPr>
          <w:i/>
          <w:iCs/>
        </w:rPr>
        <w:t xml:space="preserve"> constraint on the β-divergence to learn an over complete sparse latent factor model. A novel stochastic optimization scheme performs large-scale incremental learning of group-specific temporal event signatures. We validate the framework on synthetic data and on an electronic health record dataset.</w:t>
      </w:r>
    </w:p>
    <w:p w14:paraId="7FACD306" w14:textId="77777777" w:rsidR="00273950" w:rsidRPr="00273950" w:rsidRDefault="00273950" w:rsidP="00EF3870">
      <w:pPr>
        <w:shd w:val="clear" w:color="auto" w:fill="FFFFFF"/>
        <w:spacing w:line="276" w:lineRule="auto"/>
        <w:ind w:firstLine="720"/>
        <w:jc w:val="both"/>
        <w:rPr>
          <w:i/>
          <w:iCs/>
        </w:rPr>
      </w:pPr>
      <w:r w:rsidRPr="00273950">
        <w:rPr>
          <w:i/>
          <w:iCs/>
        </w:rPr>
        <w:t> We have proposed clinical assessment for visual interactive knowledge discovery in large electronic health record databases.</w:t>
      </w:r>
    </w:p>
    <w:p w14:paraId="42014325" w14:textId="6F9E2267" w:rsidR="006F18C9" w:rsidRDefault="00D56076" w:rsidP="009054E5">
      <w:pPr>
        <w:spacing w:before="85" w:line="276" w:lineRule="auto"/>
        <w:jc w:val="both"/>
        <w:rPr>
          <w:b/>
          <w:bCs/>
          <w:i/>
        </w:rPr>
      </w:pPr>
      <w:proofErr w:type="gramStart"/>
      <w:r>
        <w:rPr>
          <w:i/>
        </w:rPr>
        <w:t>.</w:t>
      </w:r>
      <w:r w:rsidR="004A581A" w:rsidRPr="004A581A">
        <w:rPr>
          <w:b/>
          <w:i/>
        </w:rPr>
        <w:t>Keywords-</w:t>
      </w:r>
      <w:r w:rsidR="00273950" w:rsidRPr="00273950">
        <w:rPr>
          <w:b/>
          <w:bCs/>
          <w:i/>
        </w:rPr>
        <w:t>Prediction and severity estimation of diabetes</w:t>
      </w:r>
      <w:r w:rsidR="004A581A" w:rsidRPr="00273950">
        <w:rPr>
          <w:b/>
          <w:bCs/>
          <w:i/>
        </w:rPr>
        <w:t>.</w:t>
      </w:r>
      <w:proofErr w:type="gramEnd"/>
    </w:p>
    <w:p w14:paraId="6D7757AD" w14:textId="77777777" w:rsidR="00362039" w:rsidRDefault="00362039" w:rsidP="00AA4FF7">
      <w:pPr>
        <w:spacing w:before="85" w:line="276" w:lineRule="auto"/>
        <w:ind w:left="115"/>
        <w:jc w:val="both"/>
        <w:rPr>
          <w:i/>
        </w:rPr>
      </w:pPr>
    </w:p>
    <w:p w14:paraId="4579A820" w14:textId="7BC5F8CD" w:rsidR="00434E2D" w:rsidRPr="006F18C9" w:rsidRDefault="004040B7" w:rsidP="00AA4FF7">
      <w:pPr>
        <w:spacing w:before="85" w:line="276" w:lineRule="auto"/>
        <w:ind w:left="115"/>
        <w:jc w:val="center"/>
        <w:rPr>
          <w:i/>
        </w:rPr>
      </w:pPr>
      <w:r>
        <w:rPr>
          <w:b/>
        </w:rPr>
        <w:t xml:space="preserve">1. </w:t>
      </w:r>
      <w:r w:rsidRPr="008919FC">
        <w:rPr>
          <w:b/>
        </w:rPr>
        <w:t>INTRODUCTION</w:t>
      </w:r>
    </w:p>
    <w:p w14:paraId="72B23132" w14:textId="77777777" w:rsidR="008E4ED5" w:rsidRDefault="00273950" w:rsidP="00362039">
      <w:pPr>
        <w:spacing w:line="276" w:lineRule="auto"/>
        <w:ind w:right="-43"/>
        <w:jc w:val="both"/>
      </w:pPr>
      <w:r w:rsidRPr="008E4ED5">
        <w:rPr>
          <w:b/>
          <w:bCs/>
          <w:sz w:val="46"/>
          <w:szCs w:val="46"/>
        </w:rPr>
        <w:t>D</w:t>
      </w:r>
      <w:r w:rsidRPr="00273950">
        <w:t>ata mining</w:t>
      </w:r>
      <w:r w:rsidRPr="00273950">
        <w:rPr>
          <w:i/>
          <w:iCs/>
        </w:rPr>
        <w:t xml:space="preserve"> </w:t>
      </w:r>
      <w:r w:rsidRPr="00273950">
        <w:t xml:space="preserve">can be defined as an activity that extracts some new nontrivial information contained in large databases. The goal is to discover hidden patterns, unexpected trends or other subtle relationships in the data using a combination of techniques from machine learning, statistics and database technologies. This new discipline today finds application in a wide and diverse range of </w:t>
      </w:r>
    </w:p>
    <w:p w14:paraId="26FFEAC7" w14:textId="77777777" w:rsidR="008E4ED5" w:rsidRDefault="008E4ED5" w:rsidP="00362039">
      <w:pPr>
        <w:spacing w:line="276" w:lineRule="auto"/>
        <w:ind w:right="-43"/>
        <w:jc w:val="both"/>
      </w:pPr>
    </w:p>
    <w:p w14:paraId="42DE96D4" w14:textId="77777777" w:rsidR="008E4ED5" w:rsidRDefault="008E4ED5" w:rsidP="00362039">
      <w:pPr>
        <w:spacing w:line="276" w:lineRule="auto"/>
        <w:ind w:right="-43"/>
        <w:jc w:val="both"/>
      </w:pPr>
    </w:p>
    <w:p w14:paraId="704D283E" w14:textId="77777777" w:rsidR="008E4ED5" w:rsidRDefault="008E4ED5" w:rsidP="00362039">
      <w:pPr>
        <w:spacing w:line="276" w:lineRule="auto"/>
        <w:ind w:right="-43"/>
        <w:jc w:val="both"/>
      </w:pPr>
    </w:p>
    <w:p w14:paraId="5B0DBB92" w14:textId="77777777" w:rsidR="008E4ED5" w:rsidRDefault="008E4ED5" w:rsidP="00362039">
      <w:pPr>
        <w:spacing w:line="276" w:lineRule="auto"/>
        <w:ind w:right="-43"/>
        <w:jc w:val="both"/>
      </w:pPr>
    </w:p>
    <w:p w14:paraId="6733AA9D" w14:textId="311AD9F0" w:rsidR="00EF3870" w:rsidRDefault="00273950" w:rsidP="00D8377D">
      <w:pPr>
        <w:spacing w:line="276" w:lineRule="auto"/>
        <w:ind w:right="-43"/>
        <w:jc w:val="both"/>
      </w:pPr>
      <w:proofErr w:type="gramStart"/>
      <w:r w:rsidRPr="00273950">
        <w:t>business</w:t>
      </w:r>
      <w:proofErr w:type="gramEnd"/>
      <w:r w:rsidRPr="00273950">
        <w:t xml:space="preserve">, scientific and engineering scenarios. For example, large databases of loan applications are available which record different kinds of personal and financial information </w:t>
      </w:r>
      <w:r w:rsidR="009054E5">
        <w:t xml:space="preserve"> a</w:t>
      </w:r>
      <w:r w:rsidRPr="00273950">
        <w:t>bout the applicants (along with their repayment histories). These databases can be mined for typical patterns leading to</w:t>
      </w:r>
      <w:r w:rsidR="009054E5">
        <w:t xml:space="preserve"> </w:t>
      </w:r>
      <w:r w:rsidRPr="00273950">
        <w:t>defaults which can help determine whether a future loan application must be accepted or rejected. Several terabytes of remote-sensing image data are gathered from satellites around the globe. Data mining can help reveal potential locations of some (as yet undetected) natural resources or assist in building early warning systems for ecological disasters like oil slicks etc. Other situations where data mining can be of use include analysis of medical records of hospitals in a town to predict, for example, potential outbreaks of infectious diseases, analysis of customer transactions for market research applications etc.</w:t>
      </w:r>
      <w:r w:rsidR="00EF3870">
        <w:t xml:space="preserve"> </w:t>
      </w:r>
    </w:p>
    <w:p w14:paraId="127A12D9" w14:textId="77777777" w:rsidR="00362039" w:rsidRDefault="00362039" w:rsidP="00D8377D">
      <w:pPr>
        <w:spacing w:line="276" w:lineRule="auto"/>
        <w:ind w:right="-43"/>
        <w:jc w:val="both"/>
      </w:pPr>
    </w:p>
    <w:p w14:paraId="442544D1" w14:textId="28EE5C3F" w:rsidR="00EF3870" w:rsidRPr="006F18C9" w:rsidRDefault="004040B7" w:rsidP="00EF3870">
      <w:pPr>
        <w:spacing w:line="276" w:lineRule="auto"/>
        <w:ind w:right="-43"/>
        <w:jc w:val="center"/>
      </w:pPr>
      <w:r>
        <w:rPr>
          <w:b/>
        </w:rPr>
        <w:t>2.</w:t>
      </w:r>
      <w:r w:rsidRPr="009C7953">
        <w:rPr>
          <w:b/>
        </w:rPr>
        <w:t xml:space="preserve"> LITERATURE SURVEY</w:t>
      </w:r>
    </w:p>
    <w:p w14:paraId="363B0D4D" w14:textId="77777777" w:rsidR="00362039" w:rsidRDefault="00362039" w:rsidP="00362039">
      <w:pPr>
        <w:spacing w:line="276" w:lineRule="auto"/>
        <w:jc w:val="both"/>
      </w:pPr>
    </w:p>
    <w:p w14:paraId="64CDE276" w14:textId="4395B8BA" w:rsidR="004C6D6F" w:rsidRDefault="004C6D6F" w:rsidP="00362039">
      <w:pPr>
        <w:spacing w:line="276" w:lineRule="auto"/>
        <w:jc w:val="both"/>
      </w:pPr>
      <w:r w:rsidRPr="004C6D6F">
        <w:t>Early detection of diabetes is important for the prevention of diabetic complications. The best adiposity index for indicating Type 2 diabetes mellitus remains unclear. We aimed to identify the optimal adiposity measure among BMI, waist circumference, waist-hip ratio and waist-to-height ratio to indicate undiagnosed Type 2 diabetes and impaired fasting glucose in Chinese adults.</w:t>
      </w:r>
      <w:r w:rsidR="00C36A9C">
        <w:t xml:space="preserve"> [2]</w:t>
      </w:r>
      <w:r w:rsidR="00362039">
        <w:t>.</w:t>
      </w:r>
    </w:p>
    <w:p w14:paraId="7031DA6F" w14:textId="77777777" w:rsidR="00362039" w:rsidRDefault="00362039" w:rsidP="00362039">
      <w:pPr>
        <w:spacing w:line="276" w:lineRule="auto"/>
        <w:jc w:val="both"/>
      </w:pPr>
    </w:p>
    <w:p w14:paraId="4975AF38" w14:textId="77777777" w:rsidR="000106ED" w:rsidRPr="000106ED" w:rsidRDefault="000106ED" w:rsidP="000106ED">
      <w:pPr>
        <w:jc w:val="both"/>
        <w:rPr>
          <w:b/>
        </w:rPr>
      </w:pPr>
      <w:r w:rsidRPr="00E244AF">
        <w:rPr>
          <w:b/>
        </w:rPr>
        <w:t>2.1 P</w:t>
      </w:r>
      <w:r>
        <w:rPr>
          <w:b/>
        </w:rPr>
        <w:t>roblem Statement</w:t>
      </w:r>
    </w:p>
    <w:p w14:paraId="42CFD5D4" w14:textId="77777777" w:rsidR="00EF3870" w:rsidRPr="00EF3870" w:rsidRDefault="00EF3870" w:rsidP="00EF3870">
      <w:pPr>
        <w:shd w:val="clear" w:color="auto" w:fill="FFFFFF"/>
        <w:spacing w:line="276" w:lineRule="auto"/>
        <w:ind w:firstLine="720"/>
        <w:jc w:val="both"/>
      </w:pPr>
      <w:r w:rsidRPr="00EF3870">
        <w:t xml:space="preserve">Finding latent temporal signatures is important in many domains as they encode temporal concepts such as event trends, episodes, cycles, and abnormalities. For example, in the medical domain latent event signatures facilitate decision support for patient diagnosis, prognosis, and management. </w:t>
      </w:r>
      <w:proofErr w:type="gramStart"/>
      <w:r w:rsidRPr="00EF3870">
        <w:t>In the surveillance domain temporal event signatures aid in detection of suspicious events at specific locations.</w:t>
      </w:r>
      <w:proofErr w:type="gramEnd"/>
      <w:r w:rsidRPr="00EF3870">
        <w:t xml:space="preserve"> Of particular interest is the temporal aspect of </w:t>
      </w:r>
      <w:r w:rsidRPr="00EF3870">
        <w:lastRenderedPageBreak/>
        <w:t>information hidden in event data that may be used to perform intelligent reasoning and inference about the latent relationships between event entities over time. An event entity can be a person, an object, or a location in time. For instance, in the medical domain a patient would be considered as an event entity, where visits to the doctor’s office would be considered as events.</w:t>
      </w:r>
    </w:p>
    <w:p w14:paraId="3A4B01BB" w14:textId="77777777" w:rsidR="00537378" w:rsidRDefault="00537378" w:rsidP="00AA4FF7">
      <w:pPr>
        <w:spacing w:line="276" w:lineRule="auto"/>
        <w:ind w:right="71"/>
        <w:jc w:val="both"/>
        <w:rPr>
          <w:b/>
        </w:rPr>
      </w:pPr>
    </w:p>
    <w:p w14:paraId="6A8E22FF" w14:textId="77777777" w:rsidR="00434E2D" w:rsidRPr="009C7953" w:rsidRDefault="000106ED" w:rsidP="000106ED">
      <w:pPr>
        <w:jc w:val="both"/>
        <w:rPr>
          <w:b/>
        </w:rPr>
      </w:pPr>
      <w:r w:rsidRPr="00EB5DF2">
        <w:rPr>
          <w:b/>
        </w:rPr>
        <w:t>2.2 Proposed</w:t>
      </w:r>
      <w:r>
        <w:rPr>
          <w:b/>
        </w:rPr>
        <w:t xml:space="preserve"> </w:t>
      </w:r>
      <w:r w:rsidRPr="00EB5DF2">
        <w:rPr>
          <w:b/>
        </w:rPr>
        <w:t>System</w:t>
      </w:r>
      <w:r w:rsidR="00116B54" w:rsidRPr="009C7953">
        <w:rPr>
          <w:b/>
        </w:rPr>
        <w:t>:</w:t>
      </w:r>
      <w:r w:rsidR="00C83F46">
        <w:rPr>
          <w:b/>
        </w:rPr>
        <w:t xml:space="preserve"> </w:t>
      </w:r>
      <w:r w:rsidR="00116B54" w:rsidRPr="009C7953">
        <w:rPr>
          <w:b/>
        </w:rPr>
        <w:t>-</w:t>
      </w:r>
    </w:p>
    <w:p w14:paraId="69E17616" w14:textId="77777777" w:rsidR="00DD6E3C" w:rsidRDefault="00676172" w:rsidP="009006BE">
      <w:pPr>
        <w:autoSpaceDE w:val="0"/>
        <w:autoSpaceDN w:val="0"/>
        <w:adjustRightInd w:val="0"/>
        <w:spacing w:line="276" w:lineRule="auto"/>
        <w:ind w:firstLine="720"/>
        <w:jc w:val="both"/>
      </w:pPr>
      <w:r w:rsidRPr="00676172">
        <w:t>This paper proposes a novel Temporal Event Matrix Representation (TEMR) and learning framework to perform temporal signature mining for large-scale longitudinal and heterogeneous event data. Basically, our TEMR framework represents the event data as a spatial-temporal matrix, where one dimension of the matrix corresponds to the type of the events and the other dimension represents the time information. In this case, if event i happened at time j with value k, then the</w:t>
      </w:r>
      <w:r w:rsidR="00FA7B06">
        <w:t xml:space="preserve"> </w:t>
      </w:r>
      <w:r w:rsidRPr="00676172">
        <w:t>(</w:t>
      </w:r>
      <w:proofErr w:type="spellStart"/>
      <w:r w:rsidRPr="00676172">
        <w:t>i</w:t>
      </w:r>
      <w:proofErr w:type="gramStart"/>
      <w:r w:rsidRPr="00676172">
        <w:t>,j</w:t>
      </w:r>
      <w:proofErr w:type="spellEnd"/>
      <w:proofErr w:type="gramEnd"/>
      <w:r w:rsidRPr="00676172">
        <w:t>)</w:t>
      </w:r>
      <w:proofErr w:type="spellStart"/>
      <w:r w:rsidRPr="00676172">
        <w:rPr>
          <w:vertAlign w:val="superscript"/>
        </w:rPr>
        <w:t>th</w:t>
      </w:r>
      <w:proofErr w:type="spellEnd"/>
      <w:r w:rsidRPr="00676172">
        <w:t xml:space="preserve"> element of the matrix is k. This is a very flexible and intuitive framework for encoding the temporal knowledge</w:t>
      </w:r>
    </w:p>
    <w:p w14:paraId="097C27F3" w14:textId="77777777" w:rsidR="00DD6E3C" w:rsidRDefault="00DD6E3C" w:rsidP="009006BE">
      <w:pPr>
        <w:autoSpaceDE w:val="0"/>
        <w:autoSpaceDN w:val="0"/>
        <w:adjustRightInd w:val="0"/>
        <w:spacing w:line="276" w:lineRule="auto"/>
        <w:ind w:firstLine="720"/>
        <w:jc w:val="both"/>
      </w:pPr>
    </w:p>
    <w:p w14:paraId="7C862F69" w14:textId="26CB9AC5" w:rsidR="00BA4FDB" w:rsidRPr="00C36A9C" w:rsidRDefault="00676172" w:rsidP="00C36A9C">
      <w:pPr>
        <w:autoSpaceDE w:val="0"/>
        <w:autoSpaceDN w:val="0"/>
        <w:adjustRightInd w:val="0"/>
        <w:spacing w:line="276" w:lineRule="auto"/>
        <w:ind w:firstLine="720"/>
        <w:jc w:val="both"/>
      </w:pPr>
      <w:r w:rsidRPr="00676172">
        <w:t xml:space="preserve"> </w:t>
      </w:r>
      <w:proofErr w:type="gramStart"/>
      <w:r w:rsidRPr="00676172">
        <w:t>information</w:t>
      </w:r>
      <w:proofErr w:type="gramEnd"/>
      <w:r w:rsidRPr="00676172">
        <w:t xml:space="preserve"> contained in the event sequences. To improve the scalability of the proposed approach, we further developed an online updating technology. Finally, the effectiveness of the proposed algorithm is validated on a real-world healthcare dataset.</w:t>
      </w:r>
    </w:p>
    <w:p w14:paraId="574A2850" w14:textId="77777777" w:rsidR="00434E2D" w:rsidRDefault="00434E2D" w:rsidP="008F1CC2">
      <w:pPr>
        <w:autoSpaceDE w:val="0"/>
        <w:autoSpaceDN w:val="0"/>
        <w:adjustRightInd w:val="0"/>
        <w:spacing w:line="276" w:lineRule="auto"/>
        <w:jc w:val="both"/>
      </w:pPr>
    </w:p>
    <w:p w14:paraId="2D17F744" w14:textId="77777777" w:rsidR="008F1CC2" w:rsidRDefault="008F1CC2" w:rsidP="008F1CC2">
      <w:pPr>
        <w:autoSpaceDE w:val="0"/>
        <w:autoSpaceDN w:val="0"/>
        <w:adjustRightInd w:val="0"/>
        <w:spacing w:line="276" w:lineRule="auto"/>
        <w:jc w:val="both"/>
        <w:rPr>
          <w:bCs/>
        </w:rPr>
      </w:pPr>
      <w:r>
        <w:rPr>
          <w:noProof/>
          <w:lang w:bidi="mr-IN"/>
        </w:rPr>
        <w:drawing>
          <wp:inline distT="0" distB="0" distL="0" distR="0" wp14:anchorId="0425797B" wp14:editId="2CB20C12">
            <wp:extent cx="2743200" cy="22764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cstate="print"/>
                    <a:srcRect/>
                    <a:stretch>
                      <a:fillRect/>
                    </a:stretch>
                  </pic:blipFill>
                  <pic:spPr bwMode="auto">
                    <a:xfrm>
                      <a:off x="0" y="0"/>
                      <a:ext cx="2743200" cy="2276475"/>
                    </a:xfrm>
                    <a:prstGeom prst="rect">
                      <a:avLst/>
                    </a:prstGeom>
                    <a:noFill/>
                    <a:ln w="9525">
                      <a:noFill/>
                      <a:miter lim="800000"/>
                      <a:headEnd/>
                      <a:tailEnd/>
                    </a:ln>
                  </pic:spPr>
                </pic:pic>
              </a:graphicData>
            </a:graphic>
          </wp:inline>
        </w:drawing>
      </w:r>
    </w:p>
    <w:p w14:paraId="372DF787" w14:textId="7928CB9B" w:rsidR="008F1CC2" w:rsidRPr="008F1CC2" w:rsidRDefault="008F1CC2" w:rsidP="008F1CC2">
      <w:pPr>
        <w:autoSpaceDE w:val="0"/>
        <w:autoSpaceDN w:val="0"/>
        <w:adjustRightInd w:val="0"/>
        <w:spacing w:line="276" w:lineRule="auto"/>
        <w:jc w:val="center"/>
      </w:pPr>
      <w:proofErr w:type="gramStart"/>
      <w:r w:rsidRPr="00BA4FDB">
        <w:rPr>
          <w:bCs/>
        </w:rPr>
        <w:t>Fig 1.</w:t>
      </w:r>
      <w:proofErr w:type="gramEnd"/>
      <w:r w:rsidRPr="00BA4FDB">
        <w:rPr>
          <w:bCs/>
        </w:rPr>
        <w:t xml:space="preserve"> The process of Visual Analytics</w:t>
      </w:r>
    </w:p>
    <w:p w14:paraId="3632754D" w14:textId="77777777" w:rsidR="00362039" w:rsidRDefault="00362039" w:rsidP="008F1CC2">
      <w:pPr>
        <w:autoSpaceDE w:val="0"/>
        <w:autoSpaceDN w:val="0"/>
        <w:adjustRightInd w:val="0"/>
        <w:spacing w:line="276" w:lineRule="auto"/>
        <w:jc w:val="both"/>
        <w:rPr>
          <w:b/>
        </w:rPr>
      </w:pPr>
    </w:p>
    <w:p w14:paraId="797DCE4E" w14:textId="77777777" w:rsidR="008F1CC2" w:rsidRPr="00DD6E3C" w:rsidRDefault="008F1CC2" w:rsidP="008F1CC2">
      <w:pPr>
        <w:autoSpaceDE w:val="0"/>
        <w:autoSpaceDN w:val="0"/>
        <w:adjustRightInd w:val="0"/>
        <w:spacing w:line="276" w:lineRule="auto"/>
        <w:jc w:val="both"/>
        <w:rPr>
          <w:b/>
        </w:rPr>
      </w:pPr>
      <w:r w:rsidRPr="00DD6E3C">
        <w:rPr>
          <w:b/>
        </w:rPr>
        <w:t>Visual Analytics in the Context of the Knowledge Discovery from Data Process and Data Mining</w:t>
      </w:r>
    </w:p>
    <w:p w14:paraId="6A60857D" w14:textId="77777777" w:rsidR="008F1CC2" w:rsidRPr="00DD6E3C" w:rsidRDefault="008F1CC2" w:rsidP="008F1CC2">
      <w:pPr>
        <w:autoSpaceDE w:val="0"/>
        <w:autoSpaceDN w:val="0"/>
        <w:adjustRightInd w:val="0"/>
        <w:spacing w:line="276" w:lineRule="auto"/>
        <w:jc w:val="both"/>
      </w:pPr>
      <w:r w:rsidRPr="00DD6E3C">
        <w:t xml:space="preserve">Models or patterns shown in Figure 1 are generated either through a data mining process, mathematical or statistical methods and the visualization is used to evaluate and refine </w:t>
      </w:r>
      <w:r w:rsidRPr="00DD6E3C">
        <w:lastRenderedPageBreak/>
        <w:t>the model. However, data mining is often regarded as just one but very important step in the Knowledge Discovery from Data process.</w:t>
      </w:r>
    </w:p>
    <w:p w14:paraId="13EDEFB1" w14:textId="77777777" w:rsidR="008F1CC2" w:rsidRPr="00DD6E3C" w:rsidRDefault="008F1CC2" w:rsidP="008F1CC2">
      <w:pPr>
        <w:autoSpaceDE w:val="0"/>
        <w:autoSpaceDN w:val="0"/>
        <w:adjustRightInd w:val="0"/>
        <w:spacing w:line="276" w:lineRule="auto"/>
        <w:jc w:val="both"/>
      </w:pPr>
      <w:r w:rsidRPr="00DD6E3C">
        <w:t>Hence from a data analytics perspective it is important to discuss how Visual Analytics fits in the overall KDD process.</w:t>
      </w:r>
    </w:p>
    <w:p w14:paraId="2A1126A1" w14:textId="77777777" w:rsidR="008F1CC2" w:rsidRDefault="008F1CC2" w:rsidP="008F1CC2">
      <w:pPr>
        <w:autoSpaceDE w:val="0"/>
        <w:autoSpaceDN w:val="0"/>
        <w:adjustRightInd w:val="0"/>
        <w:spacing w:line="276" w:lineRule="auto"/>
        <w:ind w:firstLine="720"/>
        <w:jc w:val="both"/>
        <w:rPr>
          <w:sz w:val="24"/>
          <w:szCs w:val="24"/>
        </w:rPr>
      </w:pPr>
      <w:r w:rsidRPr="00DD6E3C">
        <w:t>Figure 2 describes the KDD process augmented with the Visual Analytics process discussed in the ‘The Principle of Visual Analytics’ section. The dashed printed elements are taken from the Visual Analytics process, whereas the solid printed elements correspond to the KDD process. Please note that none of the KDD steps have been removed. Also note that as opposed to the KDD process, the Visual Analytics process is</w:t>
      </w:r>
      <w:r>
        <w:rPr>
          <w:sz w:val="24"/>
          <w:szCs w:val="24"/>
        </w:rPr>
        <w:t xml:space="preserve"> </w:t>
      </w:r>
      <w:r w:rsidRPr="00DD6E3C">
        <w:t>interactive through interaction</w:t>
      </w:r>
      <w:r>
        <w:t xml:space="preserve"> </w:t>
      </w:r>
      <w:r w:rsidRPr="00DD6E3C">
        <w:t>with the user of the system and the feedback loop is feeding changes back to the data input as shown in Figure 1.</w:t>
      </w:r>
    </w:p>
    <w:p w14:paraId="6F03B358" w14:textId="77777777" w:rsidR="008F1CC2" w:rsidRDefault="008F1CC2" w:rsidP="008F1CC2">
      <w:pPr>
        <w:autoSpaceDE w:val="0"/>
        <w:autoSpaceDN w:val="0"/>
        <w:adjustRightInd w:val="0"/>
        <w:spacing w:line="276" w:lineRule="auto"/>
        <w:jc w:val="both"/>
      </w:pPr>
      <w:r w:rsidRPr="00DD6E3C">
        <w:t>The following steps are extracted from Figure 2 and describe the main activities involved in the KDD process augmented</w:t>
      </w:r>
      <w:r>
        <w:t xml:space="preserve"> </w:t>
      </w:r>
      <w:r w:rsidRPr="00DD6E3C">
        <w:t>by the process of Visual Analytics as it is depicted in Figure 1:</w:t>
      </w:r>
    </w:p>
    <w:p w14:paraId="445B9C54" w14:textId="77777777" w:rsidR="008F1CC2" w:rsidRDefault="008F1CC2" w:rsidP="008F1CC2">
      <w:pPr>
        <w:autoSpaceDE w:val="0"/>
        <w:autoSpaceDN w:val="0"/>
        <w:adjustRightInd w:val="0"/>
        <w:spacing w:line="276" w:lineRule="auto"/>
        <w:jc w:val="both"/>
      </w:pPr>
    </w:p>
    <w:p w14:paraId="64FA9A05" w14:textId="77777777" w:rsidR="00BF1CB1" w:rsidRDefault="00BF1CB1" w:rsidP="008F1CC2">
      <w:pPr>
        <w:autoSpaceDE w:val="0"/>
        <w:autoSpaceDN w:val="0"/>
        <w:adjustRightInd w:val="0"/>
        <w:spacing w:line="276" w:lineRule="auto"/>
        <w:jc w:val="both"/>
      </w:pPr>
      <w:r w:rsidRPr="00671B7C">
        <w:rPr>
          <w:noProof/>
          <w:sz w:val="24"/>
          <w:szCs w:val="24"/>
          <w:lang w:bidi="mr-IN"/>
        </w:rPr>
        <w:drawing>
          <wp:inline distT="0" distB="0" distL="0" distR="0" wp14:anchorId="4A89D46D" wp14:editId="0A893757">
            <wp:extent cx="3138858" cy="294703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srcRect/>
                    <a:stretch>
                      <a:fillRect/>
                    </a:stretch>
                  </pic:blipFill>
                  <pic:spPr bwMode="auto">
                    <a:xfrm>
                      <a:off x="0" y="0"/>
                      <a:ext cx="3140751" cy="2948812"/>
                    </a:xfrm>
                    <a:prstGeom prst="rect">
                      <a:avLst/>
                    </a:prstGeom>
                    <a:noFill/>
                    <a:ln w="9525">
                      <a:noFill/>
                      <a:miter lim="800000"/>
                      <a:headEnd/>
                      <a:tailEnd/>
                    </a:ln>
                  </pic:spPr>
                </pic:pic>
              </a:graphicData>
            </a:graphic>
          </wp:inline>
        </w:drawing>
      </w:r>
    </w:p>
    <w:p w14:paraId="26867A9A" w14:textId="77777777" w:rsidR="00BF1CB1" w:rsidRDefault="00BF1CB1" w:rsidP="008F1CC2">
      <w:pPr>
        <w:autoSpaceDE w:val="0"/>
        <w:autoSpaceDN w:val="0"/>
        <w:adjustRightInd w:val="0"/>
        <w:spacing w:line="276" w:lineRule="auto"/>
        <w:jc w:val="both"/>
      </w:pPr>
    </w:p>
    <w:p w14:paraId="06C1497F" w14:textId="77777777" w:rsidR="00BF1CB1" w:rsidRDefault="00BF1CB1" w:rsidP="0090386F">
      <w:pPr>
        <w:autoSpaceDE w:val="0"/>
        <w:autoSpaceDN w:val="0"/>
        <w:adjustRightInd w:val="0"/>
        <w:spacing w:line="276" w:lineRule="auto"/>
        <w:jc w:val="center"/>
      </w:pPr>
      <w:proofErr w:type="gramStart"/>
      <w:r w:rsidRPr="00C36A9C">
        <w:t>Fig 2.</w:t>
      </w:r>
      <w:proofErr w:type="gramEnd"/>
      <w:r w:rsidRPr="00C36A9C">
        <w:t xml:space="preserve"> The Knowledge Discovery from Data process</w:t>
      </w:r>
    </w:p>
    <w:p w14:paraId="25D1F927" w14:textId="77777777" w:rsidR="0090386F" w:rsidRDefault="0090386F" w:rsidP="0090386F">
      <w:pPr>
        <w:autoSpaceDE w:val="0"/>
        <w:autoSpaceDN w:val="0"/>
        <w:adjustRightInd w:val="0"/>
        <w:spacing w:line="276" w:lineRule="auto"/>
        <w:jc w:val="center"/>
      </w:pPr>
    </w:p>
    <w:p w14:paraId="03501E78" w14:textId="77777777" w:rsidR="0090386F" w:rsidRDefault="0090386F" w:rsidP="0090386F">
      <w:pPr>
        <w:pStyle w:val="ListParagraph"/>
        <w:numPr>
          <w:ilvl w:val="0"/>
          <w:numId w:val="18"/>
        </w:numPr>
        <w:spacing w:after="200" w:line="276" w:lineRule="auto"/>
        <w:jc w:val="center"/>
        <w:rPr>
          <w:b/>
        </w:rPr>
      </w:pPr>
      <w:r w:rsidRPr="00E244AF">
        <w:rPr>
          <w:b/>
        </w:rPr>
        <w:t>METHO</w:t>
      </w:r>
      <w:r>
        <w:rPr>
          <w:b/>
        </w:rPr>
        <w:t>DO</w:t>
      </w:r>
      <w:r w:rsidRPr="00E244AF">
        <w:rPr>
          <w:b/>
        </w:rPr>
        <w:t>LOGY</w:t>
      </w:r>
    </w:p>
    <w:p w14:paraId="32A93A47" w14:textId="77777777" w:rsidR="0090386F" w:rsidRDefault="0090386F" w:rsidP="0090386F">
      <w:pPr>
        <w:autoSpaceDE w:val="0"/>
        <w:autoSpaceDN w:val="0"/>
        <w:adjustRightInd w:val="0"/>
        <w:spacing w:line="276" w:lineRule="auto"/>
        <w:jc w:val="center"/>
      </w:pPr>
    </w:p>
    <w:p w14:paraId="212D7AF4" w14:textId="77777777" w:rsidR="0090386F" w:rsidRDefault="0090386F" w:rsidP="0090386F">
      <w:pPr>
        <w:spacing w:line="276" w:lineRule="auto"/>
        <w:rPr>
          <w:b/>
          <w:bCs/>
        </w:rPr>
      </w:pPr>
      <w:r>
        <w:rPr>
          <w:b/>
          <w:bCs/>
        </w:rPr>
        <w:t xml:space="preserve">3.1 </w:t>
      </w:r>
      <w:r w:rsidRPr="00703576">
        <w:rPr>
          <w:b/>
          <w:bCs/>
        </w:rPr>
        <w:t>Advantages:</w:t>
      </w:r>
    </w:p>
    <w:p w14:paraId="68D2AF37" w14:textId="77777777" w:rsidR="0090386F" w:rsidRDefault="0090386F" w:rsidP="0090386F">
      <w:pPr>
        <w:spacing w:line="276" w:lineRule="auto"/>
        <w:rPr>
          <w:b/>
        </w:rPr>
      </w:pPr>
      <w:proofErr w:type="gramStart"/>
      <w:r>
        <w:t>1.</w:t>
      </w:r>
      <w:r w:rsidRPr="00DA7BD1">
        <w:t>Easier</w:t>
      </w:r>
      <w:proofErr w:type="gramEnd"/>
      <w:r w:rsidRPr="00DA7BD1">
        <w:t xml:space="preserve"> to build and maintain.</w:t>
      </w:r>
    </w:p>
    <w:p w14:paraId="7598C33E" w14:textId="77777777" w:rsidR="0090386F" w:rsidRPr="00703576" w:rsidRDefault="0090386F" w:rsidP="0090386F">
      <w:pPr>
        <w:spacing w:line="276" w:lineRule="auto"/>
        <w:rPr>
          <w:b/>
        </w:rPr>
      </w:pPr>
      <w:proofErr w:type="gramStart"/>
      <w:r>
        <w:lastRenderedPageBreak/>
        <w:t>2.</w:t>
      </w:r>
      <w:r w:rsidRPr="00DA7BD1">
        <w:t>Transition</w:t>
      </w:r>
      <w:proofErr w:type="gramEnd"/>
      <w:r w:rsidRPr="00DA7BD1">
        <w:t xml:space="preserve"> from object-oriented analysis to object oriented    design will be easy.</w:t>
      </w:r>
    </w:p>
    <w:p w14:paraId="008721CE" w14:textId="77777777" w:rsidR="0090386F" w:rsidRDefault="0090386F" w:rsidP="0090386F">
      <w:pPr>
        <w:tabs>
          <w:tab w:val="num" w:pos="720"/>
        </w:tabs>
        <w:spacing w:line="276" w:lineRule="auto"/>
        <w:jc w:val="both"/>
      </w:pPr>
      <w:proofErr w:type="gramStart"/>
      <w:r>
        <w:t>3.</w:t>
      </w:r>
      <w:r w:rsidRPr="00DA7BD1">
        <w:t>OOA</w:t>
      </w:r>
      <w:proofErr w:type="gramEnd"/>
      <w:r w:rsidRPr="00DA7BD1">
        <w:t xml:space="preserve"> is more immune to change because objects are more stable than function.</w:t>
      </w:r>
    </w:p>
    <w:p w14:paraId="5B288E1D" w14:textId="77777777" w:rsidR="0090386F" w:rsidRPr="00DA7BD1" w:rsidRDefault="0090386F" w:rsidP="0090386F">
      <w:pPr>
        <w:tabs>
          <w:tab w:val="num" w:pos="720"/>
        </w:tabs>
        <w:spacing w:line="276" w:lineRule="auto"/>
        <w:jc w:val="both"/>
      </w:pPr>
      <w:proofErr w:type="gramStart"/>
      <w:r>
        <w:t>4.</w:t>
      </w:r>
      <w:r w:rsidRPr="00DA7BD1">
        <w:t>Objects</w:t>
      </w:r>
      <w:proofErr w:type="gramEnd"/>
      <w:r w:rsidRPr="00DA7BD1">
        <w:t xml:space="preserve"> are likely to stay the same even if the exact nature of the problem changes</w:t>
      </w:r>
    </w:p>
    <w:p w14:paraId="3DE0C3CE" w14:textId="77777777" w:rsidR="0090386F" w:rsidRPr="00703576" w:rsidRDefault="0090386F" w:rsidP="0090386F">
      <w:pPr>
        <w:tabs>
          <w:tab w:val="num" w:pos="720"/>
        </w:tabs>
        <w:spacing w:line="276" w:lineRule="auto"/>
        <w:jc w:val="both"/>
        <w:rPr>
          <w:b/>
          <w:bCs/>
        </w:rPr>
      </w:pPr>
      <w:r>
        <w:rPr>
          <w:b/>
          <w:bCs/>
        </w:rPr>
        <w:t xml:space="preserve">3.2 </w:t>
      </w:r>
      <w:r w:rsidRPr="00703576">
        <w:rPr>
          <w:b/>
          <w:bCs/>
        </w:rPr>
        <w:t>Basic concepts:</w:t>
      </w:r>
    </w:p>
    <w:p w14:paraId="3D7583C8" w14:textId="362BB839" w:rsidR="00486E6E" w:rsidRDefault="0090386F" w:rsidP="00362039">
      <w:pPr>
        <w:spacing w:line="276" w:lineRule="auto"/>
        <w:ind w:firstLine="720"/>
        <w:jc w:val="both"/>
        <w:rPr>
          <w:b/>
        </w:rPr>
      </w:pPr>
      <w:r w:rsidRPr="00DA7BD1">
        <w:t>Object contain attributes that define the state of the object</w:t>
      </w:r>
      <w:r>
        <w:t xml:space="preserve"> </w:t>
      </w:r>
      <w:r w:rsidRPr="00DA7BD1">
        <w:t>of similar type are grouped together to form an object class (or class).</w:t>
      </w:r>
      <w:r>
        <w:t xml:space="preserve"> </w:t>
      </w:r>
      <w:r w:rsidRPr="00DA7BD1">
        <w:t>An object also provides some services or operations which are used to view or modify the state of an object from outside with the help of messages sent to that object</w:t>
      </w:r>
      <w:r w:rsidR="00362039">
        <w:t xml:space="preserve">. </w:t>
      </w:r>
    </w:p>
    <w:p w14:paraId="16B22958" w14:textId="77777777" w:rsidR="00486E6E" w:rsidRDefault="00486E6E" w:rsidP="00362039">
      <w:pPr>
        <w:spacing w:line="276" w:lineRule="auto"/>
        <w:rPr>
          <w:b/>
        </w:rPr>
      </w:pPr>
    </w:p>
    <w:p w14:paraId="133C9A05" w14:textId="024ABBB0" w:rsidR="001C7433" w:rsidRDefault="004040B7" w:rsidP="006B3B0A">
      <w:pPr>
        <w:spacing w:line="276" w:lineRule="auto"/>
        <w:jc w:val="center"/>
        <w:rPr>
          <w:b/>
        </w:rPr>
      </w:pPr>
      <w:r>
        <w:rPr>
          <w:b/>
        </w:rPr>
        <w:t>4</w:t>
      </w:r>
      <w:r w:rsidRPr="009C7953">
        <w:rPr>
          <w:b/>
        </w:rPr>
        <w:t>. RESULT</w:t>
      </w:r>
      <w:r>
        <w:rPr>
          <w:b/>
        </w:rPr>
        <w:t xml:space="preserve">S </w:t>
      </w:r>
    </w:p>
    <w:p w14:paraId="16ED76C1" w14:textId="7623A36B" w:rsidR="00B142A7" w:rsidRPr="009C7953" w:rsidRDefault="00486E6E" w:rsidP="00085E8A">
      <w:pPr>
        <w:spacing w:line="276" w:lineRule="auto"/>
        <w:rPr>
          <w:b/>
        </w:rPr>
      </w:pPr>
      <w:r>
        <w:rPr>
          <w:b/>
        </w:rPr>
        <w:t>4</w:t>
      </w:r>
      <w:r w:rsidR="00395E35">
        <w:rPr>
          <w:b/>
        </w:rPr>
        <w:t xml:space="preserve">.1 </w:t>
      </w:r>
      <w:r>
        <w:rPr>
          <w:b/>
        </w:rPr>
        <w:t>Main Menu</w:t>
      </w:r>
      <w:r w:rsidR="009F4ED6" w:rsidRPr="009C7953">
        <w:rPr>
          <w:b/>
        </w:rPr>
        <w:t>:</w:t>
      </w:r>
      <w:r w:rsidR="00863DF5">
        <w:rPr>
          <w:b/>
        </w:rPr>
        <w:t xml:space="preserve"> </w:t>
      </w:r>
      <w:r w:rsidR="009F4ED6" w:rsidRPr="009C7953">
        <w:rPr>
          <w:b/>
        </w:rPr>
        <w:t>-</w:t>
      </w:r>
    </w:p>
    <w:p w14:paraId="020CD44A" w14:textId="2A2147BD" w:rsidR="008E41F0" w:rsidRPr="009C7953" w:rsidRDefault="00486E6E" w:rsidP="00085E8A">
      <w:pPr>
        <w:spacing w:line="276" w:lineRule="auto"/>
        <w:jc w:val="both"/>
        <w:rPr>
          <w:b/>
        </w:rPr>
      </w:pPr>
      <w:r>
        <w:rPr>
          <w:b/>
          <w:noProof/>
          <w:lang w:bidi="mr-IN"/>
        </w:rPr>
        <w:drawing>
          <wp:inline distT="0" distB="0" distL="0" distR="0" wp14:anchorId="59C9D69B" wp14:editId="03FD32D8">
            <wp:extent cx="3003550" cy="21526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ain page.jpg"/>
                    <pic:cNvPicPr/>
                  </pic:nvPicPr>
                  <pic:blipFill>
                    <a:blip r:embed="rId13">
                      <a:extLst>
                        <a:ext uri="{28A0092B-C50C-407E-A947-70E740481C1C}">
                          <a14:useLocalDpi xmlns:a14="http://schemas.microsoft.com/office/drawing/2010/main" val="0"/>
                        </a:ext>
                      </a:extLst>
                    </a:blip>
                    <a:stretch>
                      <a:fillRect/>
                    </a:stretch>
                  </pic:blipFill>
                  <pic:spPr>
                    <a:xfrm>
                      <a:off x="0" y="0"/>
                      <a:ext cx="3003550" cy="2152650"/>
                    </a:xfrm>
                    <a:prstGeom prst="rect">
                      <a:avLst/>
                    </a:prstGeom>
                  </pic:spPr>
                </pic:pic>
              </a:graphicData>
            </a:graphic>
          </wp:inline>
        </w:drawing>
      </w:r>
    </w:p>
    <w:p w14:paraId="4138CD4F" w14:textId="771B77E4" w:rsidR="007B4791" w:rsidRPr="007B4791" w:rsidRDefault="008E41F0" w:rsidP="00085E8A">
      <w:pPr>
        <w:spacing w:line="276" w:lineRule="auto"/>
        <w:rPr>
          <w:b/>
        </w:rPr>
      </w:pPr>
      <w:r w:rsidRPr="009C7953">
        <w:rPr>
          <w:b/>
        </w:rPr>
        <w:tab/>
      </w:r>
      <w:r w:rsidRPr="009C7953">
        <w:rPr>
          <w:b/>
        </w:rPr>
        <w:tab/>
      </w:r>
      <w:r w:rsidRPr="009C7953">
        <w:t>Fig</w:t>
      </w:r>
      <w:r w:rsidR="00395E35">
        <w:t xml:space="preserve"> </w:t>
      </w:r>
      <w:r w:rsidR="00863DF5">
        <w:t>3</w:t>
      </w:r>
      <w:r w:rsidRPr="009C7953">
        <w:t>:</w:t>
      </w:r>
      <w:r w:rsidR="009F14AF">
        <w:t xml:space="preserve"> </w:t>
      </w:r>
      <w:r w:rsidR="00395E35">
        <w:t>-</w:t>
      </w:r>
      <w:r w:rsidRPr="009C7953">
        <w:t xml:space="preserve"> </w:t>
      </w:r>
      <w:r w:rsidR="00486E6E">
        <w:t>Main Menu</w:t>
      </w:r>
    </w:p>
    <w:p w14:paraId="3B2932E8" w14:textId="7186332F" w:rsidR="00547D7D" w:rsidRPr="00D60E98" w:rsidRDefault="00863DF5" w:rsidP="00085E8A">
      <w:pPr>
        <w:spacing w:line="276" w:lineRule="auto"/>
        <w:rPr>
          <w:b/>
          <w:bCs/>
        </w:rPr>
      </w:pPr>
      <w:r>
        <w:rPr>
          <w:b/>
          <w:bCs/>
        </w:rPr>
        <w:t>4</w:t>
      </w:r>
      <w:r w:rsidR="00395E35">
        <w:rPr>
          <w:b/>
          <w:bCs/>
        </w:rPr>
        <w:t>.2</w:t>
      </w:r>
      <w:r>
        <w:rPr>
          <w:b/>
          <w:bCs/>
        </w:rPr>
        <w:t xml:space="preserve"> Result</w:t>
      </w:r>
      <w:r w:rsidR="008E41F0" w:rsidRPr="009C7953">
        <w:rPr>
          <w:b/>
          <w:bCs/>
        </w:rPr>
        <w:t>:</w:t>
      </w:r>
      <w:r>
        <w:rPr>
          <w:b/>
          <w:bCs/>
        </w:rPr>
        <w:t xml:space="preserve"> </w:t>
      </w:r>
      <w:r w:rsidR="008E41F0" w:rsidRPr="009C7953">
        <w:rPr>
          <w:b/>
          <w:bCs/>
        </w:rPr>
        <w:t>-</w:t>
      </w:r>
    </w:p>
    <w:p w14:paraId="3692CBA5" w14:textId="5210032F" w:rsidR="008E41F0" w:rsidRPr="009C7953" w:rsidRDefault="00863DF5" w:rsidP="00085E8A">
      <w:pPr>
        <w:spacing w:line="276" w:lineRule="auto"/>
        <w:rPr>
          <w:b/>
        </w:rPr>
      </w:pPr>
      <w:r>
        <w:rPr>
          <w:b/>
          <w:noProof/>
          <w:lang w:bidi="mr-IN"/>
        </w:rPr>
        <w:drawing>
          <wp:inline distT="0" distB="0" distL="0" distR="0" wp14:anchorId="4B570A00" wp14:editId="6FE6FE0E">
            <wp:extent cx="3003550" cy="2019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resul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550" cy="2019300"/>
                    </a:xfrm>
                    <a:prstGeom prst="rect">
                      <a:avLst/>
                    </a:prstGeom>
                  </pic:spPr>
                </pic:pic>
              </a:graphicData>
            </a:graphic>
          </wp:inline>
        </w:drawing>
      </w:r>
    </w:p>
    <w:p w14:paraId="389B38DB" w14:textId="22CB94E2" w:rsidR="00B142A7" w:rsidRPr="009C7953" w:rsidRDefault="008E41F0" w:rsidP="00085E8A">
      <w:pPr>
        <w:spacing w:line="276" w:lineRule="auto"/>
        <w:rPr>
          <w:b/>
        </w:rPr>
      </w:pPr>
      <w:r w:rsidRPr="009C7953">
        <w:rPr>
          <w:b/>
        </w:rPr>
        <w:tab/>
      </w:r>
      <w:r w:rsidRPr="009C7953">
        <w:rPr>
          <w:b/>
        </w:rPr>
        <w:tab/>
        <w:t xml:space="preserve">   </w:t>
      </w:r>
      <w:r w:rsidRPr="009C7953">
        <w:t>Fig</w:t>
      </w:r>
      <w:r w:rsidR="00395E35">
        <w:t xml:space="preserve"> </w:t>
      </w:r>
      <w:r w:rsidR="00863DF5">
        <w:t>4</w:t>
      </w:r>
      <w:r w:rsidRPr="009C7953">
        <w:t>:</w:t>
      </w:r>
      <w:r w:rsidR="009F14AF">
        <w:t xml:space="preserve"> </w:t>
      </w:r>
      <w:r w:rsidR="00395E35">
        <w:t>-</w:t>
      </w:r>
      <w:r w:rsidRPr="009C7953">
        <w:t xml:space="preserve"> </w:t>
      </w:r>
      <w:r w:rsidR="00863DF5">
        <w:t>Result</w:t>
      </w:r>
    </w:p>
    <w:p w14:paraId="35E10113" w14:textId="100357BB" w:rsidR="00B142A7" w:rsidRPr="009C7953" w:rsidRDefault="00863DF5" w:rsidP="00085E8A">
      <w:pPr>
        <w:spacing w:line="276" w:lineRule="auto"/>
      </w:pPr>
      <w:r>
        <w:rPr>
          <w:b/>
        </w:rPr>
        <w:t>4</w:t>
      </w:r>
      <w:r w:rsidR="00395E35">
        <w:rPr>
          <w:b/>
        </w:rPr>
        <w:t>.3</w:t>
      </w:r>
      <w:r>
        <w:rPr>
          <w:b/>
        </w:rPr>
        <w:t xml:space="preserve"> Classification</w:t>
      </w:r>
      <w:r w:rsidR="008E41F0" w:rsidRPr="009C7953">
        <w:rPr>
          <w:b/>
        </w:rPr>
        <w:t>:</w:t>
      </w:r>
      <w:r>
        <w:rPr>
          <w:b/>
        </w:rPr>
        <w:t xml:space="preserve"> </w:t>
      </w:r>
      <w:r w:rsidR="008E41F0" w:rsidRPr="009C7953">
        <w:rPr>
          <w:b/>
        </w:rPr>
        <w:t>-</w:t>
      </w:r>
    </w:p>
    <w:p w14:paraId="6F95B359" w14:textId="50FFD223" w:rsidR="00B142A7" w:rsidRPr="009C7953" w:rsidRDefault="00863DF5" w:rsidP="00085E8A">
      <w:pPr>
        <w:spacing w:line="276" w:lineRule="auto"/>
        <w:rPr>
          <w:b/>
        </w:rPr>
      </w:pPr>
      <w:r>
        <w:rPr>
          <w:b/>
          <w:noProof/>
          <w:lang w:bidi="mr-IN"/>
        </w:rPr>
        <w:lastRenderedPageBreak/>
        <w:drawing>
          <wp:inline distT="0" distB="0" distL="0" distR="0" wp14:anchorId="012D72D1" wp14:editId="0773D4AA">
            <wp:extent cx="3000375" cy="223837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classification.jpg"/>
                    <pic:cNvPicPr/>
                  </pic:nvPicPr>
                  <pic:blipFill>
                    <a:blip r:embed="rId15">
                      <a:extLst>
                        <a:ext uri="{28A0092B-C50C-407E-A947-70E740481C1C}">
                          <a14:useLocalDpi xmlns:a14="http://schemas.microsoft.com/office/drawing/2010/main" val="0"/>
                        </a:ext>
                      </a:extLst>
                    </a:blip>
                    <a:stretch>
                      <a:fillRect/>
                    </a:stretch>
                  </pic:blipFill>
                  <pic:spPr>
                    <a:xfrm>
                      <a:off x="0" y="0"/>
                      <a:ext cx="3003550" cy="2240744"/>
                    </a:xfrm>
                    <a:prstGeom prst="rect">
                      <a:avLst/>
                    </a:prstGeom>
                  </pic:spPr>
                </pic:pic>
              </a:graphicData>
            </a:graphic>
          </wp:inline>
        </w:drawing>
      </w:r>
    </w:p>
    <w:p w14:paraId="5D0E464E" w14:textId="20311F29" w:rsidR="00FA323E" w:rsidRPr="009C7953" w:rsidRDefault="008E41F0" w:rsidP="00863DF5">
      <w:pPr>
        <w:spacing w:line="276" w:lineRule="auto"/>
        <w:jc w:val="center"/>
      </w:pPr>
      <w:r w:rsidRPr="009C7953">
        <w:t>Fig</w:t>
      </w:r>
      <w:r w:rsidR="00395E35">
        <w:t xml:space="preserve"> </w:t>
      </w:r>
      <w:r w:rsidR="00863DF5">
        <w:t>5</w:t>
      </w:r>
      <w:r w:rsidRPr="009C7953">
        <w:t>:</w:t>
      </w:r>
      <w:r w:rsidR="00863DF5">
        <w:t xml:space="preserve"> </w:t>
      </w:r>
      <w:r w:rsidR="00395E35">
        <w:t>-</w:t>
      </w:r>
      <w:r w:rsidRPr="009C7953">
        <w:t xml:space="preserve"> </w:t>
      </w:r>
      <w:r w:rsidR="00863DF5">
        <w:t xml:space="preserve">Classification </w:t>
      </w:r>
    </w:p>
    <w:p w14:paraId="54D201B9" w14:textId="77777777" w:rsidR="0090386F" w:rsidRDefault="0090386F" w:rsidP="009F14AF">
      <w:pPr>
        <w:spacing w:line="276" w:lineRule="auto"/>
        <w:rPr>
          <w:b/>
        </w:rPr>
      </w:pPr>
    </w:p>
    <w:p w14:paraId="35168057" w14:textId="1B2425FC" w:rsidR="009F14AF" w:rsidRPr="009F14AF" w:rsidRDefault="009F14AF" w:rsidP="009F14AF">
      <w:pPr>
        <w:spacing w:line="276" w:lineRule="auto"/>
        <w:rPr>
          <w:b/>
        </w:rPr>
      </w:pPr>
      <w:r>
        <w:rPr>
          <w:b/>
        </w:rPr>
        <w:t>4.4 Graph Show: -</w:t>
      </w:r>
    </w:p>
    <w:p w14:paraId="5450624F" w14:textId="6322C9E1" w:rsidR="00FF0861" w:rsidRDefault="009F14AF" w:rsidP="00085E8A">
      <w:pPr>
        <w:spacing w:line="276" w:lineRule="auto"/>
        <w:rPr>
          <w:b/>
          <w:bCs/>
        </w:rPr>
      </w:pPr>
      <w:r>
        <w:rPr>
          <w:noProof/>
          <w:lang w:bidi="mr-IN"/>
        </w:rPr>
        <w:drawing>
          <wp:inline distT="0" distB="0" distL="0" distR="0" wp14:anchorId="48A799E0" wp14:editId="40FE03A5">
            <wp:extent cx="3003550" cy="2276277"/>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raph.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03550" cy="2276277"/>
                    </a:xfrm>
                    <a:prstGeom prst="rect">
                      <a:avLst/>
                    </a:prstGeom>
                  </pic:spPr>
                </pic:pic>
              </a:graphicData>
            </a:graphic>
          </wp:inline>
        </w:drawing>
      </w:r>
    </w:p>
    <w:p w14:paraId="2AD84E70" w14:textId="0AC0AF5D" w:rsidR="00B142A7" w:rsidRDefault="009F14AF" w:rsidP="009F14AF">
      <w:pPr>
        <w:spacing w:line="276" w:lineRule="auto"/>
        <w:jc w:val="center"/>
      </w:pPr>
      <w:r w:rsidRPr="009F14AF">
        <w:t>Fig</w:t>
      </w:r>
      <w:r w:rsidR="003657E8">
        <w:t xml:space="preserve"> 6</w:t>
      </w:r>
      <w:r w:rsidRPr="009F14AF">
        <w:t>: - Graph Show</w:t>
      </w:r>
    </w:p>
    <w:p w14:paraId="01B235BC" w14:textId="77777777" w:rsidR="00291DEE" w:rsidRPr="009F14AF" w:rsidRDefault="00291DEE" w:rsidP="009F14AF">
      <w:pPr>
        <w:spacing w:line="276" w:lineRule="auto"/>
        <w:jc w:val="center"/>
      </w:pPr>
    </w:p>
    <w:p w14:paraId="5DF2778A" w14:textId="4CDADA39" w:rsidR="00B142A7" w:rsidRPr="009C7953" w:rsidRDefault="003657E8" w:rsidP="00085E8A">
      <w:pPr>
        <w:spacing w:line="276" w:lineRule="auto"/>
        <w:rPr>
          <w:b/>
        </w:rPr>
      </w:pPr>
      <w:r>
        <w:rPr>
          <w:b/>
          <w:noProof/>
          <w:lang w:bidi="mr-IN"/>
        </w:rPr>
        <w:drawing>
          <wp:inline distT="0" distB="0" distL="0" distR="0" wp14:anchorId="02F2920E" wp14:editId="1DC7A22A">
            <wp:extent cx="3003550" cy="2190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ph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03550" cy="2190750"/>
                    </a:xfrm>
                    <a:prstGeom prst="rect">
                      <a:avLst/>
                    </a:prstGeom>
                  </pic:spPr>
                </pic:pic>
              </a:graphicData>
            </a:graphic>
          </wp:inline>
        </w:drawing>
      </w:r>
    </w:p>
    <w:p w14:paraId="39E0CAD7" w14:textId="3816E444" w:rsidR="00B142A7" w:rsidRPr="009C7953" w:rsidRDefault="00BC345F" w:rsidP="00085E8A">
      <w:pPr>
        <w:spacing w:line="276" w:lineRule="auto"/>
      </w:pPr>
      <w:r w:rsidRPr="009C7953">
        <w:rPr>
          <w:b/>
        </w:rPr>
        <w:tab/>
      </w:r>
      <w:r w:rsidRPr="009C7953">
        <w:rPr>
          <w:b/>
        </w:rPr>
        <w:tab/>
      </w:r>
      <w:r w:rsidRPr="009C7953">
        <w:t>Fig</w:t>
      </w:r>
      <w:r w:rsidR="003657E8">
        <w:t xml:space="preserve"> 7: - Graph</w:t>
      </w:r>
    </w:p>
    <w:p w14:paraId="7FD26E8C" w14:textId="77777777" w:rsidR="00FF0861" w:rsidRDefault="00FF0861" w:rsidP="00085E8A">
      <w:pPr>
        <w:spacing w:line="276" w:lineRule="auto"/>
        <w:rPr>
          <w:b/>
        </w:rPr>
      </w:pPr>
    </w:p>
    <w:p w14:paraId="5FEC7988" w14:textId="510C28A9" w:rsidR="00BC345F" w:rsidRPr="009C7953" w:rsidRDefault="004040B7" w:rsidP="000E55D0">
      <w:pPr>
        <w:spacing w:line="276" w:lineRule="auto"/>
        <w:jc w:val="center"/>
        <w:rPr>
          <w:b/>
        </w:rPr>
      </w:pPr>
      <w:r>
        <w:rPr>
          <w:b/>
        </w:rPr>
        <w:lastRenderedPageBreak/>
        <w:t>5</w:t>
      </w:r>
      <w:r w:rsidRPr="009C7953">
        <w:rPr>
          <w:b/>
        </w:rPr>
        <w:t>. CONCLUSION</w:t>
      </w:r>
    </w:p>
    <w:p w14:paraId="2DC39BA4" w14:textId="429AD933" w:rsidR="00E36C9D" w:rsidRPr="00E36C9D" w:rsidRDefault="00E36C9D" w:rsidP="001F1D58">
      <w:pPr>
        <w:autoSpaceDE w:val="0"/>
        <w:autoSpaceDN w:val="0"/>
        <w:adjustRightInd w:val="0"/>
        <w:spacing w:line="276" w:lineRule="auto"/>
        <w:ind w:firstLine="720"/>
        <w:jc w:val="both"/>
        <w:rPr>
          <w:lang w:bidi="hi-IN"/>
        </w:rPr>
      </w:pPr>
      <w:r w:rsidRPr="00E36C9D">
        <w:rPr>
          <w:lang w:bidi="hi-IN"/>
        </w:rPr>
        <w:t xml:space="preserve">The Amount of Research work has been done for Prediction of diabetes using data mining technique. The bottom up summarization technique uses when patient has high risk of diabetes. The K-Nearest Neighbor Algorithm, Bayesian Classifier, Naïve Bayesian Classifier, Artificial Neural Network, Bayesian Network, Association Rule Mining all methods used for prediction of diabetes which gives patient’s condition of Normal, Pre-diabetes, Diabetes. In K-Nearest neighbor algorithm always need to determine the value of K. All above methods used to predict diabetes. But if Patient is detected as diabetes firstly there is a need of finding Control and </w:t>
      </w:r>
      <w:proofErr w:type="gramStart"/>
      <w:r w:rsidRPr="00E36C9D">
        <w:rPr>
          <w:lang w:bidi="hi-IN"/>
        </w:rPr>
        <w:t>Un</w:t>
      </w:r>
      <w:proofErr w:type="gramEnd"/>
      <w:r w:rsidRPr="00E36C9D">
        <w:rPr>
          <w:lang w:bidi="hi-IN"/>
        </w:rPr>
        <w:t xml:space="preserve"> control condition of diabetes. Because if Patient has diabetes in </w:t>
      </w:r>
      <w:proofErr w:type="gramStart"/>
      <w:r w:rsidRPr="00E36C9D">
        <w:rPr>
          <w:lang w:bidi="hi-IN"/>
        </w:rPr>
        <w:t>Un</w:t>
      </w:r>
      <w:proofErr w:type="gramEnd"/>
      <w:r w:rsidRPr="00E36C9D">
        <w:rPr>
          <w:lang w:bidi="hi-IN"/>
        </w:rPr>
        <w:t>- control condition, may be the patient has severe effect on Patient’s Organ like Heart, Eye, Kidney etc. So, there is need of finding early Severity which may</w:t>
      </w:r>
      <w:r w:rsidR="001F1D58">
        <w:rPr>
          <w:lang w:bidi="hi-IN"/>
        </w:rPr>
        <w:t xml:space="preserve"> </w:t>
      </w:r>
      <w:r w:rsidRPr="00E36C9D">
        <w:rPr>
          <w:lang w:bidi="hi-IN"/>
        </w:rPr>
        <w:t>be help patient for reducing the Severity on Organ or Halting the Severe Effect on Organ.</w:t>
      </w:r>
    </w:p>
    <w:p w14:paraId="12328F54" w14:textId="77777777" w:rsidR="00530D20" w:rsidRPr="00E96342" w:rsidRDefault="00530D20" w:rsidP="00E96342">
      <w:pPr>
        <w:autoSpaceDE w:val="0"/>
        <w:autoSpaceDN w:val="0"/>
        <w:adjustRightInd w:val="0"/>
        <w:spacing w:line="276" w:lineRule="auto"/>
        <w:ind w:firstLine="720"/>
        <w:jc w:val="both"/>
        <w:rPr>
          <w:color w:val="000000"/>
        </w:rPr>
      </w:pPr>
    </w:p>
    <w:p w14:paraId="38B1489B" w14:textId="61C2811F" w:rsidR="008E41F0" w:rsidRDefault="004040B7" w:rsidP="00FF0861">
      <w:pPr>
        <w:autoSpaceDE w:val="0"/>
        <w:autoSpaceDN w:val="0"/>
        <w:adjustRightInd w:val="0"/>
        <w:spacing w:line="276" w:lineRule="auto"/>
        <w:ind w:left="720" w:firstLine="720"/>
        <w:jc w:val="both"/>
        <w:rPr>
          <w:b/>
        </w:rPr>
      </w:pPr>
      <w:r>
        <w:rPr>
          <w:b/>
        </w:rPr>
        <w:t>6</w:t>
      </w:r>
      <w:r w:rsidRPr="009C7953">
        <w:rPr>
          <w:b/>
        </w:rPr>
        <w:t xml:space="preserve">. </w:t>
      </w:r>
      <w:r>
        <w:rPr>
          <w:b/>
        </w:rPr>
        <w:t>FUTURE SCOPE</w:t>
      </w:r>
    </w:p>
    <w:p w14:paraId="5EE5BE5A" w14:textId="2EB1FDFE" w:rsidR="008F1CC2" w:rsidRDefault="008F1CC2" w:rsidP="001F1D58">
      <w:pPr>
        <w:autoSpaceDE w:val="0"/>
        <w:autoSpaceDN w:val="0"/>
        <w:adjustRightInd w:val="0"/>
        <w:spacing w:line="276" w:lineRule="auto"/>
        <w:ind w:firstLine="720"/>
        <w:jc w:val="both"/>
      </w:pPr>
      <w:r w:rsidRPr="008F1CC2">
        <w:t xml:space="preserve">The future scope of the project is day by day our population is increase and because of that there are so many diseases are found on earth like diabetics. Worldwide are suffering from diabetes. Diabetes is a metabolic disease where the improper management of blood glucose levels led to risk of many diseases like heart attack, kidney disease, eye etc. for that purpose the data of the patient will increase that time this software is use for big data mining for sort the people who are suffering from diabetes. </w:t>
      </w:r>
      <w:proofErr w:type="gramStart"/>
      <w:r w:rsidRPr="008F1CC2">
        <w:t>This show</w:t>
      </w:r>
      <w:proofErr w:type="gramEnd"/>
      <w:r w:rsidRPr="008F1CC2">
        <w:t xml:space="preserve"> the prediction and severity of that patient for the diabetes diseases and we can easily give the treatment for that.</w:t>
      </w:r>
    </w:p>
    <w:p w14:paraId="4C48CFAA" w14:textId="77777777" w:rsidR="00FE2CC5" w:rsidRDefault="00FE2CC5" w:rsidP="00FE2CC5">
      <w:pPr>
        <w:autoSpaceDE w:val="0"/>
        <w:autoSpaceDN w:val="0"/>
        <w:adjustRightInd w:val="0"/>
        <w:spacing w:line="276" w:lineRule="auto"/>
        <w:jc w:val="center"/>
      </w:pPr>
    </w:p>
    <w:p w14:paraId="4BABD3E5" w14:textId="505E49FA" w:rsidR="00090856" w:rsidRDefault="00FE2CC5" w:rsidP="00FE2CC5">
      <w:pPr>
        <w:autoSpaceDE w:val="0"/>
        <w:autoSpaceDN w:val="0"/>
        <w:adjustRightInd w:val="0"/>
        <w:spacing w:line="276" w:lineRule="auto"/>
        <w:jc w:val="center"/>
      </w:pPr>
      <w:r>
        <w:rPr>
          <w:b/>
        </w:rPr>
        <w:t>REFERENCES</w:t>
      </w:r>
    </w:p>
    <w:p w14:paraId="0547CDE2" w14:textId="2F886032" w:rsidR="008F1CC2" w:rsidRPr="00291DEE" w:rsidRDefault="008F1CC2" w:rsidP="004040B7">
      <w:pPr>
        <w:autoSpaceDE w:val="0"/>
        <w:autoSpaceDN w:val="0"/>
        <w:adjustRightInd w:val="0"/>
        <w:spacing w:line="276" w:lineRule="auto"/>
        <w:ind w:left="284" w:hanging="284"/>
        <w:jc w:val="both"/>
        <w:rPr>
          <w:i/>
        </w:rPr>
      </w:pPr>
      <w:r w:rsidRPr="004040B7">
        <w:rPr>
          <w:iCs/>
        </w:rPr>
        <w:t>[1]</w:t>
      </w:r>
      <w:r w:rsidRPr="00291DEE">
        <w:rPr>
          <w:i/>
        </w:rPr>
        <w:t xml:space="preserve"> P. T. </w:t>
      </w:r>
      <w:proofErr w:type="spellStart"/>
      <w:r w:rsidRPr="00291DEE">
        <w:rPr>
          <w:i/>
        </w:rPr>
        <w:t>Katzmarzyk</w:t>
      </w:r>
      <w:proofErr w:type="spellEnd"/>
      <w:r w:rsidRPr="00291DEE">
        <w:rPr>
          <w:i/>
        </w:rPr>
        <w:t xml:space="preserve">, C. L. Craig, and L. </w:t>
      </w:r>
      <w:proofErr w:type="spellStart"/>
      <w:r w:rsidRPr="00291DEE">
        <w:rPr>
          <w:i/>
        </w:rPr>
        <w:t>Gauvin</w:t>
      </w:r>
      <w:proofErr w:type="spellEnd"/>
      <w:r w:rsidRPr="00291DEE">
        <w:rPr>
          <w:i/>
        </w:rPr>
        <w:t xml:space="preserve">, “Adiposity, physical fitness and incident diabetes: The physical activity longitudinal study,” </w:t>
      </w:r>
      <w:proofErr w:type="spellStart"/>
      <w:r w:rsidRPr="00291DEE">
        <w:rPr>
          <w:i/>
          <w:iCs/>
        </w:rPr>
        <w:t>Diabetologia</w:t>
      </w:r>
      <w:proofErr w:type="spellEnd"/>
      <w:r w:rsidRPr="00291DEE">
        <w:rPr>
          <w:i/>
        </w:rPr>
        <w:t>, vol. 50, no. 3, pp. 538–544, Mar. 2007.</w:t>
      </w:r>
    </w:p>
    <w:p w14:paraId="4BAEB8DB" w14:textId="2F37A87F" w:rsidR="008F1CC2" w:rsidRPr="00291DEE" w:rsidRDefault="008F1CC2" w:rsidP="004040B7">
      <w:pPr>
        <w:autoSpaceDE w:val="0"/>
        <w:autoSpaceDN w:val="0"/>
        <w:adjustRightInd w:val="0"/>
        <w:spacing w:line="276" w:lineRule="auto"/>
        <w:ind w:left="284" w:hanging="284"/>
        <w:jc w:val="both"/>
        <w:rPr>
          <w:i/>
        </w:rPr>
      </w:pPr>
      <w:r w:rsidRPr="004040B7">
        <w:rPr>
          <w:iCs/>
        </w:rPr>
        <w:t>[2]</w:t>
      </w:r>
      <w:r w:rsidRPr="00291DEE">
        <w:rPr>
          <w:i/>
        </w:rPr>
        <w:t xml:space="preserve"> Z. </w:t>
      </w:r>
      <w:proofErr w:type="spellStart"/>
      <w:r w:rsidRPr="00291DEE">
        <w:rPr>
          <w:i/>
        </w:rPr>
        <w:t>Xu</w:t>
      </w:r>
      <w:proofErr w:type="spellEnd"/>
      <w:r w:rsidRPr="00291DEE">
        <w:rPr>
          <w:i/>
        </w:rPr>
        <w:t xml:space="preserve">, X. Qi, A. K. Dahl, and W. </w:t>
      </w:r>
      <w:proofErr w:type="spellStart"/>
      <w:r w:rsidRPr="00291DEE">
        <w:rPr>
          <w:i/>
        </w:rPr>
        <w:t>Xu</w:t>
      </w:r>
      <w:proofErr w:type="spellEnd"/>
      <w:r w:rsidRPr="00291DEE">
        <w:rPr>
          <w:i/>
        </w:rPr>
        <w:t xml:space="preserve">, “Waist-to-height ratio is the best indicator for undiagnosed type 2 diabetes,” </w:t>
      </w:r>
      <w:r w:rsidRPr="00291DEE">
        <w:rPr>
          <w:i/>
          <w:iCs/>
        </w:rPr>
        <w:t>Diabetic Med.</w:t>
      </w:r>
      <w:r w:rsidRPr="00291DEE">
        <w:rPr>
          <w:i/>
        </w:rPr>
        <w:t>, vol. 30, no. 6, pp. e201–e207, Jun. 2013.</w:t>
      </w:r>
    </w:p>
    <w:p w14:paraId="08F6941C" w14:textId="77777777" w:rsidR="008F1CC2" w:rsidRPr="00291DEE" w:rsidRDefault="008F1CC2" w:rsidP="004040B7">
      <w:pPr>
        <w:autoSpaceDE w:val="0"/>
        <w:autoSpaceDN w:val="0"/>
        <w:adjustRightInd w:val="0"/>
        <w:spacing w:line="276" w:lineRule="auto"/>
        <w:ind w:left="284" w:hanging="284"/>
        <w:jc w:val="both"/>
        <w:rPr>
          <w:i/>
        </w:rPr>
      </w:pPr>
      <w:r w:rsidRPr="004040B7">
        <w:rPr>
          <w:iCs/>
        </w:rPr>
        <w:t>[3]</w:t>
      </w:r>
      <w:r w:rsidRPr="00291DEE">
        <w:rPr>
          <w:i/>
        </w:rPr>
        <w:t xml:space="preserve"> R. N. </w:t>
      </w:r>
      <w:proofErr w:type="spellStart"/>
      <w:r w:rsidRPr="00291DEE">
        <w:rPr>
          <w:i/>
        </w:rPr>
        <w:t>Feng</w:t>
      </w:r>
      <w:proofErr w:type="spellEnd"/>
      <w:r w:rsidRPr="00291DEE">
        <w:rPr>
          <w:i/>
        </w:rPr>
        <w:t xml:space="preserve">, C. Zhao, C. Wang, Y. C. </w:t>
      </w:r>
      <w:proofErr w:type="spellStart"/>
      <w:r w:rsidRPr="00291DEE">
        <w:rPr>
          <w:i/>
        </w:rPr>
        <w:t>Niu</w:t>
      </w:r>
      <w:proofErr w:type="spellEnd"/>
      <w:r w:rsidRPr="00291DEE">
        <w:rPr>
          <w:i/>
        </w:rPr>
        <w:t xml:space="preserve">, K. Li, F. C. </w:t>
      </w:r>
      <w:proofErr w:type="spellStart"/>
      <w:r w:rsidRPr="00291DEE">
        <w:rPr>
          <w:i/>
        </w:rPr>
        <w:t>Guo</w:t>
      </w:r>
      <w:proofErr w:type="spellEnd"/>
      <w:r w:rsidRPr="00291DEE">
        <w:rPr>
          <w:i/>
        </w:rPr>
        <w:t xml:space="preserve">, S. T. Li, C. H. Sun, and Y. Li, “BMI is strongly associated with hypertension, and waist circumference is strongly associated with type 2 diabetes and dyslipidemia, in northern Chinese adults,” </w:t>
      </w:r>
      <w:r w:rsidRPr="00291DEE">
        <w:rPr>
          <w:i/>
          <w:iCs/>
        </w:rPr>
        <w:t xml:space="preserve">J. </w:t>
      </w:r>
      <w:proofErr w:type="spellStart"/>
      <w:r w:rsidRPr="00291DEE">
        <w:rPr>
          <w:i/>
          <w:iCs/>
        </w:rPr>
        <w:t>Epidemiol</w:t>
      </w:r>
      <w:proofErr w:type="spellEnd"/>
      <w:r w:rsidRPr="00291DEE">
        <w:rPr>
          <w:i/>
          <w:iCs/>
        </w:rPr>
        <w:t>.</w:t>
      </w:r>
      <w:r w:rsidRPr="00291DEE">
        <w:rPr>
          <w:i/>
        </w:rPr>
        <w:t>, vol. 22, no. 4, pp. 317–323, May 2012.</w:t>
      </w:r>
    </w:p>
    <w:p w14:paraId="769CB4E2" w14:textId="77777777" w:rsidR="008F1CC2" w:rsidRPr="00291DEE" w:rsidRDefault="008F1CC2" w:rsidP="004040B7">
      <w:pPr>
        <w:autoSpaceDE w:val="0"/>
        <w:autoSpaceDN w:val="0"/>
        <w:adjustRightInd w:val="0"/>
        <w:spacing w:line="276" w:lineRule="auto"/>
        <w:ind w:left="284" w:hanging="284"/>
        <w:jc w:val="both"/>
        <w:rPr>
          <w:i/>
        </w:rPr>
      </w:pPr>
      <w:r w:rsidRPr="004040B7">
        <w:rPr>
          <w:iCs/>
        </w:rPr>
        <w:lastRenderedPageBreak/>
        <w:t>[4]</w:t>
      </w:r>
      <w:r w:rsidRPr="00291DEE">
        <w:rPr>
          <w:i/>
        </w:rPr>
        <w:t xml:space="preserve"> A. Berber, R. </w:t>
      </w:r>
      <w:proofErr w:type="spellStart"/>
      <w:r w:rsidRPr="00291DEE">
        <w:rPr>
          <w:i/>
        </w:rPr>
        <w:t>G´omez</w:t>
      </w:r>
      <w:proofErr w:type="spellEnd"/>
      <w:r w:rsidRPr="00291DEE">
        <w:rPr>
          <w:i/>
        </w:rPr>
        <w:t xml:space="preserve">-Santos, G. </w:t>
      </w:r>
      <w:proofErr w:type="spellStart"/>
      <w:r w:rsidRPr="00291DEE">
        <w:rPr>
          <w:i/>
        </w:rPr>
        <w:t>Fangh¨anel</w:t>
      </w:r>
      <w:proofErr w:type="spellEnd"/>
      <w:r w:rsidRPr="00291DEE">
        <w:rPr>
          <w:i/>
        </w:rPr>
        <w:t xml:space="preserve">, and L. </w:t>
      </w:r>
      <w:proofErr w:type="spellStart"/>
      <w:r w:rsidRPr="00291DEE">
        <w:rPr>
          <w:i/>
        </w:rPr>
        <w:t>S´anchez</w:t>
      </w:r>
      <w:proofErr w:type="spellEnd"/>
      <w:r w:rsidRPr="00291DEE">
        <w:rPr>
          <w:i/>
        </w:rPr>
        <w:t xml:space="preserve">-Reyes, “Anthropometric indexes in the prediction of type 2 diabetes mellitus, hypertension and </w:t>
      </w:r>
      <w:proofErr w:type="spellStart"/>
      <w:r w:rsidRPr="00291DEE">
        <w:rPr>
          <w:i/>
        </w:rPr>
        <w:t>dyslipidaemia</w:t>
      </w:r>
      <w:proofErr w:type="spellEnd"/>
      <w:r w:rsidRPr="00291DEE">
        <w:rPr>
          <w:i/>
        </w:rPr>
        <w:t xml:space="preserve"> in a Mexican population,” </w:t>
      </w:r>
      <w:r w:rsidRPr="00291DEE">
        <w:rPr>
          <w:i/>
          <w:iCs/>
        </w:rPr>
        <w:t xml:space="preserve">Int. J. </w:t>
      </w:r>
      <w:proofErr w:type="spellStart"/>
      <w:r w:rsidRPr="00291DEE">
        <w:rPr>
          <w:i/>
          <w:iCs/>
        </w:rPr>
        <w:t>Obes</w:t>
      </w:r>
      <w:proofErr w:type="spellEnd"/>
      <w:r w:rsidRPr="00291DEE">
        <w:rPr>
          <w:i/>
          <w:iCs/>
        </w:rPr>
        <w:t xml:space="preserve">. </w:t>
      </w:r>
      <w:proofErr w:type="spellStart"/>
      <w:r w:rsidRPr="00291DEE">
        <w:rPr>
          <w:i/>
          <w:iCs/>
        </w:rPr>
        <w:t>Relat</w:t>
      </w:r>
      <w:proofErr w:type="spellEnd"/>
      <w:r w:rsidRPr="00291DEE">
        <w:rPr>
          <w:i/>
          <w:iCs/>
        </w:rPr>
        <w:t xml:space="preserve"> </w:t>
      </w:r>
      <w:proofErr w:type="spellStart"/>
      <w:r w:rsidRPr="00291DEE">
        <w:rPr>
          <w:i/>
          <w:iCs/>
        </w:rPr>
        <w:t>Metab</w:t>
      </w:r>
      <w:proofErr w:type="spellEnd"/>
      <w:r w:rsidRPr="00291DEE">
        <w:rPr>
          <w:i/>
          <w:iCs/>
        </w:rPr>
        <w:t>. Disorders</w:t>
      </w:r>
      <w:r w:rsidRPr="00291DEE">
        <w:rPr>
          <w:i/>
        </w:rPr>
        <w:t>, vol. 25, no. 12, pp. 1794–1799, Dec. 2001.</w:t>
      </w:r>
    </w:p>
    <w:p w14:paraId="74D44393" w14:textId="77777777" w:rsidR="008F1CC2" w:rsidRPr="00291DEE" w:rsidRDefault="008F1CC2" w:rsidP="004040B7">
      <w:pPr>
        <w:autoSpaceDE w:val="0"/>
        <w:autoSpaceDN w:val="0"/>
        <w:adjustRightInd w:val="0"/>
        <w:spacing w:line="276" w:lineRule="auto"/>
        <w:ind w:left="284" w:hanging="284"/>
        <w:jc w:val="both"/>
        <w:rPr>
          <w:i/>
        </w:rPr>
      </w:pPr>
      <w:r w:rsidRPr="004040B7">
        <w:rPr>
          <w:iCs/>
        </w:rPr>
        <w:t>[5]</w:t>
      </w:r>
      <w:r w:rsidRPr="00291DEE">
        <w:rPr>
          <w:i/>
        </w:rPr>
        <w:t xml:space="preserve"> B. </w:t>
      </w:r>
      <w:proofErr w:type="spellStart"/>
      <w:r w:rsidRPr="00291DEE">
        <w:rPr>
          <w:i/>
        </w:rPr>
        <w:t>Balkau</w:t>
      </w:r>
      <w:proofErr w:type="spellEnd"/>
      <w:r w:rsidRPr="00291DEE">
        <w:rPr>
          <w:i/>
        </w:rPr>
        <w:t xml:space="preserve">, D. </w:t>
      </w:r>
      <w:proofErr w:type="spellStart"/>
      <w:r w:rsidRPr="00291DEE">
        <w:rPr>
          <w:i/>
        </w:rPr>
        <w:t>Sapinho</w:t>
      </w:r>
      <w:proofErr w:type="spellEnd"/>
      <w:r w:rsidRPr="00291DEE">
        <w:rPr>
          <w:i/>
        </w:rPr>
        <w:t xml:space="preserve">, A. </w:t>
      </w:r>
      <w:proofErr w:type="spellStart"/>
      <w:r w:rsidRPr="00291DEE">
        <w:rPr>
          <w:i/>
        </w:rPr>
        <w:t>Petrella</w:t>
      </w:r>
      <w:proofErr w:type="spellEnd"/>
      <w:r w:rsidRPr="00291DEE">
        <w:rPr>
          <w:i/>
        </w:rPr>
        <w:t xml:space="preserve">, L. </w:t>
      </w:r>
      <w:proofErr w:type="spellStart"/>
      <w:r w:rsidRPr="00291DEE">
        <w:rPr>
          <w:i/>
        </w:rPr>
        <w:t>Mhamdi</w:t>
      </w:r>
      <w:proofErr w:type="spellEnd"/>
      <w:r w:rsidRPr="00291DEE">
        <w:rPr>
          <w:i/>
        </w:rPr>
        <w:t xml:space="preserve">, M. </w:t>
      </w:r>
      <w:proofErr w:type="spellStart"/>
      <w:r w:rsidRPr="00291DEE">
        <w:rPr>
          <w:i/>
        </w:rPr>
        <w:t>Cailleau</w:t>
      </w:r>
      <w:proofErr w:type="spellEnd"/>
      <w:r w:rsidRPr="00291DEE">
        <w:rPr>
          <w:i/>
        </w:rPr>
        <w:t xml:space="preserve">, D. </w:t>
      </w:r>
      <w:proofErr w:type="spellStart"/>
      <w:r w:rsidRPr="00291DEE">
        <w:rPr>
          <w:i/>
        </w:rPr>
        <w:t>Arondel</w:t>
      </w:r>
      <w:proofErr w:type="spellEnd"/>
      <w:r w:rsidRPr="00291DEE">
        <w:rPr>
          <w:i/>
        </w:rPr>
        <w:t xml:space="preserve">, and M. A. Charles, D. E. S. I. R. Study Group, “Prescreening tools for diabetes and obesity-associated </w:t>
      </w:r>
      <w:proofErr w:type="spellStart"/>
      <w:r w:rsidRPr="00291DEE">
        <w:rPr>
          <w:i/>
        </w:rPr>
        <w:t>dyslipidaemia</w:t>
      </w:r>
      <w:proofErr w:type="spellEnd"/>
      <w:r w:rsidRPr="00291DEE">
        <w:rPr>
          <w:i/>
        </w:rPr>
        <w:t xml:space="preserve">: Comparing BMI, waist and waist hip ratio. The D.E.S.I.R. Study,” </w:t>
      </w:r>
      <w:r w:rsidRPr="00291DEE">
        <w:rPr>
          <w:i/>
          <w:iCs/>
        </w:rPr>
        <w:t xml:space="preserve">Eur. J. </w:t>
      </w:r>
      <w:proofErr w:type="spellStart"/>
      <w:r w:rsidRPr="00291DEE">
        <w:rPr>
          <w:i/>
          <w:iCs/>
        </w:rPr>
        <w:t>Clin</w:t>
      </w:r>
      <w:proofErr w:type="spellEnd"/>
      <w:r w:rsidRPr="00291DEE">
        <w:rPr>
          <w:i/>
          <w:iCs/>
        </w:rPr>
        <w:t xml:space="preserve">. </w:t>
      </w:r>
      <w:proofErr w:type="spellStart"/>
      <w:proofErr w:type="gramStart"/>
      <w:r w:rsidRPr="00291DEE">
        <w:rPr>
          <w:i/>
          <w:iCs/>
        </w:rPr>
        <w:t>Nutr</w:t>
      </w:r>
      <w:proofErr w:type="spellEnd"/>
      <w:r w:rsidRPr="00291DEE">
        <w:rPr>
          <w:i/>
          <w:iCs/>
        </w:rPr>
        <w:t>.</w:t>
      </w:r>
      <w:r w:rsidRPr="00291DEE">
        <w:rPr>
          <w:i/>
        </w:rPr>
        <w:t>,</w:t>
      </w:r>
      <w:proofErr w:type="gramEnd"/>
      <w:r w:rsidRPr="00291DEE">
        <w:rPr>
          <w:i/>
        </w:rPr>
        <w:t xml:space="preserve"> vol. 60, no. 3, pp. 295–304, Mar. 2006.</w:t>
      </w:r>
    </w:p>
    <w:p w14:paraId="4EE6D7A6" w14:textId="34C2EBDE" w:rsidR="00AD57FF" w:rsidRPr="00291DEE" w:rsidRDefault="008F1CC2" w:rsidP="004040B7">
      <w:pPr>
        <w:autoSpaceDE w:val="0"/>
        <w:autoSpaceDN w:val="0"/>
        <w:adjustRightInd w:val="0"/>
        <w:spacing w:line="276" w:lineRule="auto"/>
        <w:ind w:left="284" w:hanging="284"/>
        <w:jc w:val="both"/>
        <w:rPr>
          <w:i/>
        </w:rPr>
      </w:pPr>
      <w:r w:rsidRPr="004040B7">
        <w:rPr>
          <w:iCs/>
        </w:rPr>
        <w:t>[6]</w:t>
      </w:r>
      <w:r w:rsidRPr="00291DEE">
        <w:rPr>
          <w:i/>
        </w:rPr>
        <w:t xml:space="preserve"> I. S. </w:t>
      </w:r>
      <w:proofErr w:type="spellStart"/>
      <w:r w:rsidRPr="00291DEE">
        <w:rPr>
          <w:i/>
        </w:rPr>
        <w:t>Okosun</w:t>
      </w:r>
      <w:proofErr w:type="spellEnd"/>
      <w:r w:rsidRPr="00291DEE">
        <w:rPr>
          <w:i/>
        </w:rPr>
        <w:t xml:space="preserve">, K. M. Chandra, S. Choi, J. </w:t>
      </w:r>
      <w:proofErr w:type="spellStart"/>
      <w:r w:rsidRPr="00291DEE">
        <w:rPr>
          <w:i/>
        </w:rPr>
        <w:t>Christman</w:t>
      </w:r>
      <w:proofErr w:type="spellEnd"/>
      <w:r w:rsidRPr="00291DEE">
        <w:rPr>
          <w:i/>
        </w:rPr>
        <w:t xml:space="preserve">, G. E. </w:t>
      </w:r>
      <w:proofErr w:type="spellStart"/>
      <w:r w:rsidRPr="00291DEE">
        <w:rPr>
          <w:i/>
        </w:rPr>
        <w:t>Dever</w:t>
      </w:r>
      <w:proofErr w:type="spellEnd"/>
      <w:r w:rsidRPr="00291DEE">
        <w:rPr>
          <w:i/>
        </w:rPr>
        <w:t xml:space="preserve">, and T. E. Prewitt, “Hypertension and type </w:t>
      </w:r>
      <w:r w:rsidR="00362039" w:rsidRPr="00291DEE">
        <w:rPr>
          <w:i/>
        </w:rPr>
        <w:t xml:space="preserve"> </w:t>
      </w:r>
      <w:r w:rsidR="00AD57FF" w:rsidRPr="00291DEE">
        <w:rPr>
          <w:i/>
        </w:rPr>
        <w:t>2 diabetes comorbidity in adults in the United States:</w:t>
      </w:r>
    </w:p>
    <w:p w14:paraId="0E3159D0" w14:textId="441E72A3" w:rsidR="008F1CC2" w:rsidRPr="00291DEE" w:rsidRDefault="004040B7" w:rsidP="004040B7">
      <w:pPr>
        <w:autoSpaceDE w:val="0"/>
        <w:autoSpaceDN w:val="0"/>
        <w:adjustRightInd w:val="0"/>
        <w:spacing w:line="276" w:lineRule="auto"/>
        <w:ind w:left="284" w:hanging="284"/>
        <w:jc w:val="both"/>
        <w:rPr>
          <w:i/>
        </w:rPr>
      </w:pPr>
      <w:r>
        <w:rPr>
          <w:i/>
        </w:rPr>
        <w:t xml:space="preserve">      </w:t>
      </w:r>
      <w:proofErr w:type="gramStart"/>
      <w:r w:rsidR="008F1CC2" w:rsidRPr="00291DEE">
        <w:rPr>
          <w:i/>
        </w:rPr>
        <w:t>risk</w:t>
      </w:r>
      <w:proofErr w:type="gramEnd"/>
      <w:r w:rsidR="008F1CC2" w:rsidRPr="00291DEE">
        <w:rPr>
          <w:i/>
        </w:rPr>
        <w:t xml:space="preserve"> of overall and regional adiposity,” </w:t>
      </w:r>
      <w:proofErr w:type="spellStart"/>
      <w:r w:rsidR="008F1CC2" w:rsidRPr="00291DEE">
        <w:rPr>
          <w:i/>
          <w:iCs/>
        </w:rPr>
        <w:t>Obes</w:t>
      </w:r>
      <w:proofErr w:type="spellEnd"/>
      <w:r w:rsidR="008F1CC2" w:rsidRPr="00291DEE">
        <w:rPr>
          <w:i/>
          <w:iCs/>
        </w:rPr>
        <w:t>. Res.</w:t>
      </w:r>
      <w:r w:rsidR="008F1CC2" w:rsidRPr="00291DEE">
        <w:rPr>
          <w:i/>
        </w:rPr>
        <w:t>, vol. 9, no. 1, pp. 1–9, Jan. 2001.</w:t>
      </w:r>
    </w:p>
    <w:p w14:paraId="164F3A56" w14:textId="77777777" w:rsidR="008F1CC2" w:rsidRPr="00291DEE" w:rsidRDefault="008F1CC2" w:rsidP="004040B7">
      <w:pPr>
        <w:autoSpaceDE w:val="0"/>
        <w:autoSpaceDN w:val="0"/>
        <w:adjustRightInd w:val="0"/>
        <w:spacing w:line="276" w:lineRule="auto"/>
        <w:ind w:left="284" w:hanging="284"/>
        <w:jc w:val="both"/>
        <w:rPr>
          <w:i/>
        </w:rPr>
      </w:pPr>
      <w:r w:rsidRPr="004040B7">
        <w:rPr>
          <w:iCs/>
        </w:rPr>
        <w:t>[7]</w:t>
      </w:r>
      <w:r w:rsidRPr="00291DEE">
        <w:rPr>
          <w:i/>
        </w:rPr>
        <w:t xml:space="preserve"> L. A. </w:t>
      </w:r>
      <w:proofErr w:type="spellStart"/>
      <w:r w:rsidRPr="00291DEE">
        <w:rPr>
          <w:i/>
        </w:rPr>
        <w:t>Sargeant</w:t>
      </w:r>
      <w:proofErr w:type="spellEnd"/>
      <w:r w:rsidRPr="00291DEE">
        <w:rPr>
          <w:i/>
        </w:rPr>
        <w:t xml:space="preserve">, F. I. Bennett, T. E. Forrester, R. S. Cooper, and R. </w:t>
      </w:r>
      <w:proofErr w:type="spellStart"/>
      <w:r w:rsidRPr="00291DEE">
        <w:rPr>
          <w:i/>
        </w:rPr>
        <w:t>J.Wilks</w:t>
      </w:r>
      <w:proofErr w:type="spellEnd"/>
      <w:r w:rsidRPr="00291DEE">
        <w:rPr>
          <w:i/>
        </w:rPr>
        <w:t xml:space="preserve">, “Predicting incident diabetes in Jamaica: the role of anthropometry,” </w:t>
      </w:r>
      <w:proofErr w:type="spellStart"/>
      <w:r w:rsidRPr="00291DEE">
        <w:rPr>
          <w:i/>
          <w:iCs/>
        </w:rPr>
        <w:t>Obes</w:t>
      </w:r>
      <w:proofErr w:type="spellEnd"/>
      <w:r w:rsidRPr="00291DEE">
        <w:rPr>
          <w:i/>
          <w:iCs/>
        </w:rPr>
        <w:t>. Res.</w:t>
      </w:r>
      <w:r w:rsidRPr="00291DEE">
        <w:rPr>
          <w:i/>
        </w:rPr>
        <w:t>, vol. 10, no. 8, pp. 792–798, Aug. 2002.</w:t>
      </w:r>
    </w:p>
    <w:p w14:paraId="787DAA70" w14:textId="77777777" w:rsidR="008F1CC2" w:rsidRPr="00291DEE" w:rsidRDefault="008F1CC2" w:rsidP="004040B7">
      <w:pPr>
        <w:autoSpaceDE w:val="0"/>
        <w:autoSpaceDN w:val="0"/>
        <w:adjustRightInd w:val="0"/>
        <w:spacing w:line="276" w:lineRule="auto"/>
        <w:ind w:left="284" w:hanging="284"/>
        <w:jc w:val="both"/>
        <w:rPr>
          <w:i/>
        </w:rPr>
      </w:pPr>
      <w:r w:rsidRPr="004040B7">
        <w:rPr>
          <w:iCs/>
        </w:rPr>
        <w:t xml:space="preserve">[8] </w:t>
      </w:r>
      <w:r w:rsidRPr="00291DEE">
        <w:rPr>
          <w:i/>
        </w:rPr>
        <w:t xml:space="preserve">N. T. </w:t>
      </w:r>
      <w:proofErr w:type="spellStart"/>
      <w:r w:rsidRPr="00291DEE">
        <w:rPr>
          <w:i/>
        </w:rPr>
        <w:t>Duc</w:t>
      </w:r>
      <w:proofErr w:type="spellEnd"/>
      <w:r w:rsidRPr="00291DEE">
        <w:rPr>
          <w:i/>
        </w:rPr>
        <w:t xml:space="preserve"> Son le, T. T. </w:t>
      </w:r>
      <w:proofErr w:type="spellStart"/>
      <w:r w:rsidRPr="00291DEE">
        <w:rPr>
          <w:i/>
        </w:rPr>
        <w:t>Hanh</w:t>
      </w:r>
      <w:proofErr w:type="spellEnd"/>
      <w:r w:rsidRPr="00291DEE">
        <w:rPr>
          <w:i/>
        </w:rPr>
        <w:t xml:space="preserve">, K. </w:t>
      </w:r>
      <w:proofErr w:type="spellStart"/>
      <w:r w:rsidRPr="00291DEE">
        <w:rPr>
          <w:i/>
        </w:rPr>
        <w:t>Kusama</w:t>
      </w:r>
      <w:proofErr w:type="spellEnd"/>
      <w:r w:rsidRPr="00291DEE">
        <w:rPr>
          <w:i/>
        </w:rPr>
        <w:t xml:space="preserve">, D. Kunii, T. Sakai, N. T. Hung, and S. Yamamoto, “Anthropometric characteristics, dietary patterns and risk of type 2 diabetes mellitus in Vietnam,” </w:t>
      </w:r>
      <w:r w:rsidRPr="00291DEE">
        <w:rPr>
          <w:i/>
          <w:iCs/>
        </w:rPr>
        <w:t xml:space="preserve">J. Amer. Coll. </w:t>
      </w:r>
      <w:proofErr w:type="spellStart"/>
      <w:r w:rsidRPr="00291DEE">
        <w:rPr>
          <w:i/>
          <w:iCs/>
        </w:rPr>
        <w:t>Nutr</w:t>
      </w:r>
      <w:proofErr w:type="spellEnd"/>
      <w:r w:rsidRPr="00291DEE">
        <w:rPr>
          <w:i/>
          <w:iCs/>
        </w:rPr>
        <w:t>.</w:t>
      </w:r>
      <w:r w:rsidRPr="00291DEE">
        <w:rPr>
          <w:i/>
        </w:rPr>
        <w:t>, vol. 24, no. 4, pp. 229–234, Aug. 2005.</w:t>
      </w:r>
    </w:p>
    <w:p w14:paraId="0800898B" w14:textId="77777777" w:rsidR="008F1CC2" w:rsidRPr="00291DEE" w:rsidRDefault="008F1CC2" w:rsidP="004040B7">
      <w:pPr>
        <w:autoSpaceDE w:val="0"/>
        <w:autoSpaceDN w:val="0"/>
        <w:adjustRightInd w:val="0"/>
        <w:spacing w:line="276" w:lineRule="auto"/>
        <w:ind w:left="284" w:hanging="284"/>
        <w:jc w:val="both"/>
        <w:rPr>
          <w:i/>
        </w:rPr>
      </w:pPr>
      <w:r w:rsidRPr="004040B7">
        <w:rPr>
          <w:iCs/>
        </w:rPr>
        <w:t>[9]</w:t>
      </w:r>
      <w:r w:rsidRPr="00291DEE">
        <w:rPr>
          <w:i/>
        </w:rPr>
        <w:t xml:space="preserve"> G. T. </w:t>
      </w:r>
      <w:proofErr w:type="spellStart"/>
      <w:r w:rsidRPr="00291DEE">
        <w:rPr>
          <w:i/>
        </w:rPr>
        <w:t>Ko</w:t>
      </w:r>
      <w:proofErr w:type="spellEnd"/>
      <w:r w:rsidRPr="00291DEE">
        <w:rPr>
          <w:i/>
        </w:rPr>
        <w:t xml:space="preserve">, J. C. Chan, C. S. </w:t>
      </w:r>
      <w:proofErr w:type="spellStart"/>
      <w:r w:rsidRPr="00291DEE">
        <w:rPr>
          <w:i/>
        </w:rPr>
        <w:t>Cockram</w:t>
      </w:r>
      <w:proofErr w:type="spellEnd"/>
      <w:r w:rsidRPr="00291DEE">
        <w:rPr>
          <w:i/>
        </w:rPr>
        <w:t xml:space="preserve">, and </w:t>
      </w:r>
      <w:proofErr w:type="spellStart"/>
      <w:r w:rsidRPr="00291DEE">
        <w:rPr>
          <w:i/>
        </w:rPr>
        <w:t>J.Woo</w:t>
      </w:r>
      <w:proofErr w:type="spellEnd"/>
      <w:r w:rsidRPr="00291DEE">
        <w:rPr>
          <w:i/>
        </w:rPr>
        <w:t xml:space="preserve">, “Prediction of hypertension, diabetes, </w:t>
      </w:r>
      <w:proofErr w:type="spellStart"/>
      <w:r w:rsidRPr="00291DEE">
        <w:rPr>
          <w:i/>
        </w:rPr>
        <w:t>dyslipidaemia</w:t>
      </w:r>
      <w:proofErr w:type="spellEnd"/>
      <w:r w:rsidRPr="00291DEE">
        <w:rPr>
          <w:i/>
        </w:rPr>
        <w:t xml:space="preserve"> or albuminuria using simple anthropometric indexes in Hong Kong Chinese,” </w:t>
      </w:r>
      <w:r w:rsidRPr="00291DEE">
        <w:rPr>
          <w:i/>
          <w:iCs/>
        </w:rPr>
        <w:t xml:space="preserve">Int. J. </w:t>
      </w:r>
      <w:proofErr w:type="spellStart"/>
      <w:r w:rsidRPr="00291DEE">
        <w:rPr>
          <w:i/>
          <w:iCs/>
        </w:rPr>
        <w:t>Obes</w:t>
      </w:r>
      <w:proofErr w:type="spellEnd"/>
      <w:r w:rsidRPr="00291DEE">
        <w:rPr>
          <w:i/>
          <w:iCs/>
        </w:rPr>
        <w:t xml:space="preserve">. </w:t>
      </w:r>
      <w:proofErr w:type="spellStart"/>
      <w:proofErr w:type="gramStart"/>
      <w:r w:rsidRPr="00291DEE">
        <w:rPr>
          <w:i/>
          <w:iCs/>
        </w:rPr>
        <w:t>Relat</w:t>
      </w:r>
      <w:proofErr w:type="spellEnd"/>
      <w:r w:rsidRPr="00291DEE">
        <w:rPr>
          <w:i/>
          <w:iCs/>
        </w:rPr>
        <w:t>.</w:t>
      </w:r>
      <w:proofErr w:type="gramEnd"/>
      <w:r w:rsidRPr="00291DEE">
        <w:rPr>
          <w:i/>
          <w:iCs/>
        </w:rPr>
        <w:t xml:space="preserve"> </w:t>
      </w:r>
      <w:proofErr w:type="spellStart"/>
      <w:proofErr w:type="gramStart"/>
      <w:r w:rsidRPr="00291DEE">
        <w:rPr>
          <w:i/>
          <w:iCs/>
        </w:rPr>
        <w:t>Metab</w:t>
      </w:r>
      <w:proofErr w:type="spellEnd"/>
      <w:r w:rsidRPr="00291DEE">
        <w:rPr>
          <w:i/>
          <w:iCs/>
        </w:rPr>
        <w:t>.</w:t>
      </w:r>
      <w:proofErr w:type="gramEnd"/>
      <w:r w:rsidRPr="00291DEE">
        <w:rPr>
          <w:i/>
          <w:iCs/>
        </w:rPr>
        <w:t xml:space="preserve"> Disorders</w:t>
      </w:r>
      <w:r w:rsidRPr="00291DEE">
        <w:rPr>
          <w:i/>
        </w:rPr>
        <w:t>, vol. 23, no. 11, pp. 1136–1142, Nov. 1999.</w:t>
      </w:r>
    </w:p>
    <w:p w14:paraId="1366DC88" w14:textId="243019B8" w:rsidR="008F1CC2" w:rsidRPr="00291DEE" w:rsidRDefault="008F1CC2" w:rsidP="004040B7">
      <w:pPr>
        <w:autoSpaceDE w:val="0"/>
        <w:autoSpaceDN w:val="0"/>
        <w:adjustRightInd w:val="0"/>
        <w:spacing w:line="276" w:lineRule="auto"/>
        <w:ind w:left="284" w:hanging="284"/>
        <w:jc w:val="both"/>
        <w:rPr>
          <w:b/>
          <w:i/>
        </w:rPr>
      </w:pPr>
      <w:r w:rsidRPr="004040B7">
        <w:rPr>
          <w:iCs/>
        </w:rPr>
        <w:t>[10]</w:t>
      </w:r>
      <w:r w:rsidRPr="00291DEE">
        <w:rPr>
          <w:i/>
        </w:rPr>
        <w:t xml:space="preserve"> M. B. </w:t>
      </w:r>
      <w:proofErr w:type="spellStart"/>
      <w:r w:rsidRPr="00291DEE">
        <w:rPr>
          <w:i/>
        </w:rPr>
        <w:t>Snijder</w:t>
      </w:r>
      <w:proofErr w:type="spellEnd"/>
      <w:r w:rsidRPr="00291DEE">
        <w:rPr>
          <w:i/>
        </w:rPr>
        <w:t xml:space="preserve">, P. Z. </w:t>
      </w:r>
      <w:proofErr w:type="spellStart"/>
      <w:r w:rsidRPr="00291DEE">
        <w:rPr>
          <w:i/>
        </w:rPr>
        <w:t>Zimmet</w:t>
      </w:r>
      <w:proofErr w:type="spellEnd"/>
      <w:r w:rsidRPr="00291DEE">
        <w:rPr>
          <w:i/>
        </w:rPr>
        <w:t xml:space="preserve">, M. </w:t>
      </w:r>
      <w:proofErr w:type="spellStart"/>
      <w:r w:rsidRPr="00291DEE">
        <w:rPr>
          <w:i/>
        </w:rPr>
        <w:t>Visser</w:t>
      </w:r>
      <w:proofErr w:type="spellEnd"/>
      <w:r w:rsidRPr="00291DEE">
        <w:rPr>
          <w:i/>
        </w:rPr>
        <w:t xml:space="preserve">, J. M. Dekker, J. C. </w:t>
      </w:r>
      <w:proofErr w:type="spellStart"/>
      <w:r w:rsidRPr="00291DEE">
        <w:rPr>
          <w:i/>
        </w:rPr>
        <w:t>Seidell</w:t>
      </w:r>
      <w:proofErr w:type="spellEnd"/>
      <w:r w:rsidRPr="00291DEE">
        <w:rPr>
          <w:i/>
        </w:rPr>
        <w:t xml:space="preserve">, and J. E. Shaw, “Independent and opposite associations of waist and hip circumferences with diabetes, hypertension and dyslipidemia: The </w:t>
      </w:r>
      <w:proofErr w:type="spellStart"/>
      <w:r w:rsidRPr="00291DEE">
        <w:rPr>
          <w:i/>
        </w:rPr>
        <w:t>AusDiab</w:t>
      </w:r>
      <w:proofErr w:type="spellEnd"/>
      <w:r w:rsidRPr="00291DEE">
        <w:rPr>
          <w:i/>
        </w:rPr>
        <w:t xml:space="preserve"> study,” </w:t>
      </w:r>
      <w:r w:rsidRPr="00291DEE">
        <w:rPr>
          <w:i/>
          <w:iCs/>
        </w:rPr>
        <w:t xml:space="preserve">Int. J. </w:t>
      </w:r>
      <w:proofErr w:type="spellStart"/>
      <w:r w:rsidRPr="00291DEE">
        <w:rPr>
          <w:i/>
          <w:iCs/>
        </w:rPr>
        <w:t>Obes</w:t>
      </w:r>
      <w:proofErr w:type="spellEnd"/>
      <w:r w:rsidRPr="00291DEE">
        <w:rPr>
          <w:i/>
          <w:iCs/>
        </w:rPr>
        <w:t xml:space="preserve">. </w:t>
      </w:r>
      <w:proofErr w:type="spellStart"/>
      <w:proofErr w:type="gramStart"/>
      <w:r w:rsidRPr="00291DEE">
        <w:rPr>
          <w:i/>
          <w:iCs/>
        </w:rPr>
        <w:t>Relat</w:t>
      </w:r>
      <w:proofErr w:type="spellEnd"/>
      <w:r w:rsidRPr="00291DEE">
        <w:rPr>
          <w:i/>
          <w:iCs/>
        </w:rPr>
        <w:t>.</w:t>
      </w:r>
      <w:proofErr w:type="gramEnd"/>
      <w:r w:rsidRPr="00291DEE">
        <w:rPr>
          <w:i/>
          <w:iCs/>
        </w:rPr>
        <w:t xml:space="preserve"> </w:t>
      </w:r>
      <w:proofErr w:type="spellStart"/>
      <w:proofErr w:type="gramStart"/>
      <w:r w:rsidRPr="00291DEE">
        <w:rPr>
          <w:i/>
          <w:iCs/>
        </w:rPr>
        <w:t>Metab</w:t>
      </w:r>
      <w:proofErr w:type="spellEnd"/>
      <w:r w:rsidRPr="00291DEE">
        <w:rPr>
          <w:i/>
          <w:iCs/>
        </w:rPr>
        <w:t>.</w:t>
      </w:r>
      <w:proofErr w:type="gramEnd"/>
      <w:r w:rsidRPr="00291DEE">
        <w:rPr>
          <w:i/>
          <w:iCs/>
        </w:rPr>
        <w:t xml:space="preserve"> Disorders</w:t>
      </w:r>
      <w:r w:rsidRPr="00291DEE">
        <w:rPr>
          <w:i/>
        </w:rPr>
        <w:t>, vol. 28, no. 3, pp. 402–409, Mar.</w:t>
      </w:r>
      <w:r w:rsidR="0054559F" w:rsidRPr="00291DEE">
        <w:rPr>
          <w:i/>
        </w:rPr>
        <w:t xml:space="preserve"> 200</w:t>
      </w:r>
      <w:r w:rsidR="00943A12" w:rsidRPr="00291DEE">
        <w:rPr>
          <w:i/>
        </w:rPr>
        <w:t>4</w:t>
      </w:r>
      <w:r w:rsidR="00291DEE" w:rsidRPr="00291DEE">
        <w:rPr>
          <w:i/>
        </w:rPr>
        <w:t>.</w:t>
      </w:r>
    </w:p>
    <w:sectPr w:rsidR="008F1CC2" w:rsidRPr="00291DEE" w:rsidSect="00B42D3D">
      <w:type w:val="continuous"/>
      <w:pgSz w:w="12240" w:h="15840"/>
      <w:pgMar w:top="2080" w:right="1040" w:bottom="280" w:left="1020" w:header="720" w:footer="720" w:gutter="0"/>
      <w:cols w:num="2" w:space="720" w:equalWidth="0">
        <w:col w:w="4886" w:space="416"/>
        <w:col w:w="487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2CF86" w14:textId="77777777" w:rsidR="006D3FA7" w:rsidRDefault="006D3FA7">
      <w:r>
        <w:separator/>
      </w:r>
    </w:p>
  </w:endnote>
  <w:endnote w:type="continuationSeparator" w:id="0">
    <w:p w14:paraId="0FAEFF52" w14:textId="77777777" w:rsidR="006D3FA7" w:rsidRDefault="006D3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539782"/>
      <w:docPartObj>
        <w:docPartGallery w:val="Page Numbers (Bottom of Page)"/>
        <w:docPartUnique/>
      </w:docPartObj>
    </w:sdtPr>
    <w:sdtEndPr/>
    <w:sdtContent>
      <w:p w14:paraId="42ABD6BD" w14:textId="77777777" w:rsidR="004E61D4" w:rsidRDefault="001A7746">
        <w:pPr>
          <w:pStyle w:val="Footer"/>
          <w:jc w:val="center"/>
        </w:pPr>
        <w:r>
          <w:rPr>
            <w:noProof/>
          </w:rPr>
          <w:fldChar w:fldCharType="begin"/>
        </w:r>
        <w:r>
          <w:rPr>
            <w:noProof/>
          </w:rPr>
          <w:instrText xml:space="preserve"> PAGE   \* MERGEFORMAT </w:instrText>
        </w:r>
        <w:r>
          <w:rPr>
            <w:noProof/>
          </w:rPr>
          <w:fldChar w:fldCharType="separate"/>
        </w:r>
        <w:r w:rsidR="00184403">
          <w:rPr>
            <w:noProof/>
          </w:rPr>
          <w:t>26</w:t>
        </w:r>
        <w:r>
          <w:rPr>
            <w:noProof/>
          </w:rPr>
          <w:fldChar w:fldCharType="end"/>
        </w:r>
      </w:p>
    </w:sdtContent>
  </w:sdt>
  <w:p w14:paraId="5559F5D0" w14:textId="77777777" w:rsidR="004E61D4" w:rsidRDefault="004E61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7005F" w14:textId="77777777" w:rsidR="006D3FA7" w:rsidRDefault="006D3FA7">
      <w:r>
        <w:separator/>
      </w:r>
    </w:p>
  </w:footnote>
  <w:footnote w:type="continuationSeparator" w:id="0">
    <w:p w14:paraId="26E13CBD" w14:textId="77777777" w:rsidR="006D3FA7" w:rsidRDefault="006D3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ABCC9" w14:textId="77777777" w:rsidR="004E61D4" w:rsidRDefault="006D3FA7">
    <w:pPr>
      <w:spacing w:line="200" w:lineRule="exact"/>
    </w:pPr>
    <w:r>
      <w:pict w14:anchorId="79A61EB7">
        <v:shapetype id="_x0000_t202" coordsize="21600,21600" o:spt="202" path="m,l,21600r21600,l21600,xe">
          <v:stroke joinstyle="miter"/>
          <v:path gradientshapeok="t" o:connecttype="rect"/>
        </v:shapetype>
        <v:shape id="_x0000_s2051" type="#_x0000_t202" style="position:absolute;margin-left:56.6pt;margin-top:36.25pt;width:135.3pt;height:14pt;z-index:-251659776;mso-position-horizontal-relative:page;mso-position-vertical-relative:page" filled="f" stroked="f">
          <v:textbox style="mso-next-textbox:#_x0000_s2051" inset="0,0,0,0">
            <w:txbxContent>
              <w:p w14:paraId="7DE605E2" w14:textId="77777777" w:rsidR="004E61D4" w:rsidRDefault="004E61D4">
                <w:pPr>
                  <w:spacing w:line="260" w:lineRule="exact"/>
                  <w:ind w:left="20" w:right="-36"/>
                  <w:rPr>
                    <w:sz w:val="24"/>
                    <w:szCs w:val="24"/>
                  </w:rPr>
                </w:pPr>
                <w:r>
                  <w:rPr>
                    <w:b/>
                    <w:i/>
                    <w:sz w:val="24"/>
                    <w:szCs w:val="24"/>
                  </w:rPr>
                  <w:t>Impact Factor Value 4.046</w:t>
                </w:r>
              </w:p>
            </w:txbxContent>
          </v:textbox>
          <w10:wrap anchorx="page" anchory="page"/>
        </v:shape>
      </w:pict>
    </w:r>
    <w:r>
      <w:pict w14:anchorId="74F549EA">
        <v:shape id="_x0000_s2050" type="#_x0000_t202" style="position:absolute;margin-left:458.55pt;margin-top:36.25pt;width:97.05pt;height:14pt;z-index:-251658752;mso-position-horizontal-relative:page;mso-position-vertical-relative:page" filled="f" stroked="f">
          <v:textbox style="mso-next-textbox:#_x0000_s2050" inset="0,0,0,0">
            <w:txbxContent>
              <w:p w14:paraId="539DE03B" w14:textId="77777777" w:rsidR="004E61D4" w:rsidRDefault="004E61D4">
                <w:pPr>
                  <w:spacing w:line="260" w:lineRule="exact"/>
                  <w:ind w:left="20" w:right="-36"/>
                  <w:rPr>
                    <w:sz w:val="24"/>
                    <w:szCs w:val="24"/>
                  </w:rPr>
                </w:pPr>
                <w:proofErr w:type="gramStart"/>
                <w:r>
                  <w:rPr>
                    <w:b/>
                    <w:sz w:val="24"/>
                    <w:szCs w:val="24"/>
                  </w:rPr>
                  <w:t>e-ISSN</w:t>
                </w:r>
                <w:proofErr w:type="gramEnd"/>
                <w:r>
                  <w:rPr>
                    <w:b/>
                    <w:sz w:val="24"/>
                    <w:szCs w:val="24"/>
                  </w:rPr>
                  <w:t>: 2456-3463</w:t>
                </w:r>
              </w:p>
            </w:txbxContent>
          </v:textbox>
          <w10:wrap anchorx="page" anchory="page"/>
        </v:shape>
      </w:pict>
    </w:r>
    <w:r>
      <w:pict w14:anchorId="01218488">
        <v:shape id="_x0000_s2049" type="#_x0000_t202" style="position:absolute;margin-left:92.25pt;margin-top:50.05pt;width:427.6pt;height:55.4pt;z-index:-251657728;mso-position-horizontal-relative:page;mso-position-vertical-relative:page" filled="f" stroked="f">
          <v:textbox style="mso-next-textbox:#_x0000_s2049" inset="0,0,0,0">
            <w:txbxContent>
              <w:p w14:paraId="0131697C" w14:textId="58F5C95A" w:rsidR="004E61D4" w:rsidRDefault="004E61D4">
                <w:pPr>
                  <w:spacing w:line="260" w:lineRule="exact"/>
                  <w:ind w:left="-18" w:right="-18"/>
                  <w:jc w:val="center"/>
                  <w:rPr>
                    <w:sz w:val="24"/>
                    <w:szCs w:val="24"/>
                  </w:rPr>
                </w:pPr>
                <w:r>
                  <w:rPr>
                    <w:b/>
                    <w:i/>
                    <w:sz w:val="24"/>
                    <w:szCs w:val="24"/>
                  </w:rPr>
                  <w:t xml:space="preserve">International Journal of Innovations in Engineering and Science, </w:t>
                </w:r>
                <w:proofErr w:type="spellStart"/>
                <w:r>
                  <w:rPr>
                    <w:b/>
                    <w:i/>
                    <w:sz w:val="24"/>
                    <w:szCs w:val="24"/>
                  </w:rPr>
                  <w:t>Vol</w:t>
                </w:r>
                <w:proofErr w:type="spellEnd"/>
                <w:r>
                  <w:rPr>
                    <w:b/>
                    <w:i/>
                    <w:sz w:val="24"/>
                    <w:szCs w:val="24"/>
                  </w:rPr>
                  <w:t xml:space="preserve"> 4, </w:t>
                </w:r>
                <w:proofErr w:type="gramStart"/>
                <w:r>
                  <w:rPr>
                    <w:b/>
                    <w:i/>
                    <w:sz w:val="24"/>
                    <w:szCs w:val="24"/>
                  </w:rPr>
                  <w:t>No.</w:t>
                </w:r>
                <w:r w:rsidR="004040B7">
                  <w:rPr>
                    <w:b/>
                    <w:i/>
                    <w:sz w:val="24"/>
                    <w:szCs w:val="24"/>
                  </w:rPr>
                  <w:t xml:space="preserve">10 </w:t>
                </w:r>
                <w:r>
                  <w:rPr>
                    <w:b/>
                    <w:i/>
                    <w:sz w:val="24"/>
                    <w:szCs w:val="24"/>
                  </w:rPr>
                  <w:t>,2019</w:t>
                </w:r>
                <w:proofErr w:type="gramEnd"/>
              </w:p>
              <w:p w14:paraId="5FA85B17" w14:textId="77777777" w:rsidR="004E61D4" w:rsidRDefault="004E61D4">
                <w:pPr>
                  <w:ind w:left="1228" w:right="1225"/>
                  <w:jc w:val="center"/>
                  <w:rPr>
                    <w:sz w:val="24"/>
                    <w:szCs w:val="24"/>
                  </w:rPr>
                </w:pPr>
                <w:r>
                  <w:rPr>
                    <w:b/>
                    <w:i/>
                    <w:sz w:val="24"/>
                    <w:szCs w:val="24"/>
                  </w:rPr>
                  <w:t>National Level Technical Paper Presentation- PHOENIX-19</w:t>
                </w:r>
              </w:p>
              <w:p w14:paraId="58BB5F2A" w14:textId="77777777" w:rsidR="004E61D4" w:rsidRDefault="004E61D4">
                <w:pPr>
                  <w:ind w:left="1005" w:right="1003"/>
                  <w:jc w:val="center"/>
                  <w:rPr>
                    <w:sz w:val="24"/>
                    <w:szCs w:val="24"/>
                  </w:rPr>
                </w:pPr>
                <w:r>
                  <w:rPr>
                    <w:b/>
                    <w:i/>
                    <w:sz w:val="24"/>
                    <w:szCs w:val="24"/>
                  </w:rPr>
                  <w:t xml:space="preserve">Organized by Godavari College of Engineering, </w:t>
                </w:r>
                <w:proofErr w:type="spellStart"/>
                <w:r>
                  <w:rPr>
                    <w:b/>
                    <w:i/>
                    <w:sz w:val="24"/>
                    <w:szCs w:val="24"/>
                  </w:rPr>
                  <w:t>Jalgaon</w:t>
                </w:r>
                <w:proofErr w:type="spellEnd"/>
                <w:r>
                  <w:rPr>
                    <w:b/>
                    <w:i/>
                    <w:sz w:val="24"/>
                    <w:szCs w:val="24"/>
                  </w:rPr>
                  <w:t xml:space="preserve"> - 425003 www.ijies.net</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BC7"/>
    <w:multiLevelType w:val="hybridMultilevel"/>
    <w:tmpl w:val="AF5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E7387"/>
    <w:multiLevelType w:val="hybridMultilevel"/>
    <w:tmpl w:val="546C306C"/>
    <w:lvl w:ilvl="0" w:tplc="ECA62F8C">
      <w:start w:val="1"/>
      <w:numFmt w:val="decimal"/>
      <w:lvlText w:val="%1."/>
      <w:lvlJc w:val="left"/>
      <w:pPr>
        <w:ind w:left="2005" w:hanging="360"/>
      </w:pPr>
      <w:rPr>
        <w:rFonts w:hint="default"/>
        <w:b/>
      </w:rPr>
    </w:lvl>
    <w:lvl w:ilvl="1" w:tplc="04090019" w:tentative="1">
      <w:start w:val="1"/>
      <w:numFmt w:val="lowerLetter"/>
      <w:lvlText w:val="%2."/>
      <w:lvlJc w:val="left"/>
      <w:pPr>
        <w:ind w:left="2725" w:hanging="360"/>
      </w:pPr>
    </w:lvl>
    <w:lvl w:ilvl="2" w:tplc="0409001B" w:tentative="1">
      <w:start w:val="1"/>
      <w:numFmt w:val="lowerRoman"/>
      <w:lvlText w:val="%3."/>
      <w:lvlJc w:val="right"/>
      <w:pPr>
        <w:ind w:left="3445" w:hanging="180"/>
      </w:pPr>
    </w:lvl>
    <w:lvl w:ilvl="3" w:tplc="0409000F" w:tentative="1">
      <w:start w:val="1"/>
      <w:numFmt w:val="decimal"/>
      <w:lvlText w:val="%4."/>
      <w:lvlJc w:val="left"/>
      <w:pPr>
        <w:ind w:left="4165" w:hanging="360"/>
      </w:pPr>
    </w:lvl>
    <w:lvl w:ilvl="4" w:tplc="04090019" w:tentative="1">
      <w:start w:val="1"/>
      <w:numFmt w:val="lowerLetter"/>
      <w:lvlText w:val="%5."/>
      <w:lvlJc w:val="left"/>
      <w:pPr>
        <w:ind w:left="4885" w:hanging="360"/>
      </w:pPr>
    </w:lvl>
    <w:lvl w:ilvl="5" w:tplc="0409001B" w:tentative="1">
      <w:start w:val="1"/>
      <w:numFmt w:val="lowerRoman"/>
      <w:lvlText w:val="%6."/>
      <w:lvlJc w:val="right"/>
      <w:pPr>
        <w:ind w:left="5605" w:hanging="180"/>
      </w:pPr>
    </w:lvl>
    <w:lvl w:ilvl="6" w:tplc="0409000F" w:tentative="1">
      <w:start w:val="1"/>
      <w:numFmt w:val="decimal"/>
      <w:lvlText w:val="%7."/>
      <w:lvlJc w:val="left"/>
      <w:pPr>
        <w:ind w:left="6325" w:hanging="360"/>
      </w:pPr>
    </w:lvl>
    <w:lvl w:ilvl="7" w:tplc="04090019" w:tentative="1">
      <w:start w:val="1"/>
      <w:numFmt w:val="lowerLetter"/>
      <w:lvlText w:val="%8."/>
      <w:lvlJc w:val="left"/>
      <w:pPr>
        <w:ind w:left="7045" w:hanging="360"/>
      </w:pPr>
    </w:lvl>
    <w:lvl w:ilvl="8" w:tplc="0409001B" w:tentative="1">
      <w:start w:val="1"/>
      <w:numFmt w:val="lowerRoman"/>
      <w:lvlText w:val="%9."/>
      <w:lvlJc w:val="right"/>
      <w:pPr>
        <w:ind w:left="7765" w:hanging="180"/>
      </w:pPr>
    </w:lvl>
  </w:abstractNum>
  <w:abstractNum w:abstractNumId="2">
    <w:nsid w:val="102046E8"/>
    <w:multiLevelType w:val="hybridMultilevel"/>
    <w:tmpl w:val="04688A88"/>
    <w:lvl w:ilvl="0" w:tplc="E43ED01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365B3B"/>
    <w:multiLevelType w:val="hybridMultilevel"/>
    <w:tmpl w:val="27B475FC"/>
    <w:lvl w:ilvl="0" w:tplc="E06AD7F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7784C"/>
    <w:multiLevelType w:val="hybridMultilevel"/>
    <w:tmpl w:val="1BDA053A"/>
    <w:lvl w:ilvl="0" w:tplc="04090003">
      <w:start w:val="1"/>
      <w:numFmt w:val="bullet"/>
      <w:lvlText w:val="o"/>
      <w:lvlJc w:val="left"/>
      <w:pPr>
        <w:tabs>
          <w:tab w:val="num" w:pos="1080"/>
        </w:tabs>
        <w:ind w:left="1080" w:hanging="360"/>
      </w:pPr>
      <w:rPr>
        <w:rFonts w:ascii="Courier New" w:hAnsi="Courier New" w:cs="Courier New"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AEE5E66"/>
    <w:multiLevelType w:val="hybridMultilevel"/>
    <w:tmpl w:val="5F0A572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nsid w:val="1EAF5498"/>
    <w:multiLevelType w:val="hybridMultilevel"/>
    <w:tmpl w:val="6B3AF9E0"/>
    <w:lvl w:ilvl="0" w:tplc="C1881B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C71A9B"/>
    <w:multiLevelType w:val="hybridMultilevel"/>
    <w:tmpl w:val="090673FA"/>
    <w:lvl w:ilvl="0" w:tplc="5D641940">
      <w:start w:val="1"/>
      <w:numFmt w:val="upperRoman"/>
      <w:lvlText w:val="%1."/>
      <w:lvlJc w:val="left"/>
      <w:pPr>
        <w:ind w:left="2115" w:hanging="720"/>
      </w:pPr>
      <w:rPr>
        <w:rFonts w:hint="default"/>
        <w:b/>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8">
    <w:nsid w:val="221004A6"/>
    <w:multiLevelType w:val="hybridMultilevel"/>
    <w:tmpl w:val="81B2FE52"/>
    <w:lvl w:ilvl="0" w:tplc="51F4940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24766"/>
    <w:multiLevelType w:val="multilevel"/>
    <w:tmpl w:val="CE0669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E173C68"/>
    <w:multiLevelType w:val="hybridMultilevel"/>
    <w:tmpl w:val="92BE2F4E"/>
    <w:lvl w:ilvl="0" w:tplc="1DD49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6A5545"/>
    <w:multiLevelType w:val="hybridMultilevel"/>
    <w:tmpl w:val="D972A97E"/>
    <w:lvl w:ilvl="0" w:tplc="97AE748E">
      <w:start w:val="1"/>
      <w:numFmt w:val="upperRoman"/>
      <w:lvlText w:val="%1."/>
      <w:lvlJc w:val="left"/>
      <w:pPr>
        <w:ind w:left="2325" w:hanging="720"/>
      </w:pPr>
      <w:rPr>
        <w:rFonts w:hint="default"/>
        <w:b/>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13">
    <w:nsid w:val="41A349D2"/>
    <w:multiLevelType w:val="hybridMultilevel"/>
    <w:tmpl w:val="989E61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53953B40"/>
    <w:multiLevelType w:val="hybridMultilevel"/>
    <w:tmpl w:val="4E84AC9A"/>
    <w:lvl w:ilvl="0" w:tplc="416EA0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634A1"/>
    <w:multiLevelType w:val="hybridMultilevel"/>
    <w:tmpl w:val="D6367132"/>
    <w:lvl w:ilvl="0" w:tplc="A00EC26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7513D3"/>
    <w:multiLevelType w:val="hybridMultilevel"/>
    <w:tmpl w:val="69F07480"/>
    <w:lvl w:ilvl="0" w:tplc="1A6C1D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DB7F1A"/>
    <w:multiLevelType w:val="hybridMultilevel"/>
    <w:tmpl w:val="B77EF88A"/>
    <w:lvl w:ilvl="0" w:tplc="FE44017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6"/>
  </w:num>
  <w:num w:numId="4">
    <w:abstractNumId w:val="7"/>
  </w:num>
  <w:num w:numId="5">
    <w:abstractNumId w:val="14"/>
  </w:num>
  <w:num w:numId="6">
    <w:abstractNumId w:val="0"/>
  </w:num>
  <w:num w:numId="7">
    <w:abstractNumId w:val="17"/>
  </w:num>
  <w:num w:numId="8">
    <w:abstractNumId w:val="15"/>
  </w:num>
  <w:num w:numId="9">
    <w:abstractNumId w:val="5"/>
  </w:num>
  <w:num w:numId="10">
    <w:abstractNumId w:val="12"/>
  </w:num>
  <w:num w:numId="11">
    <w:abstractNumId w:val="8"/>
  </w:num>
  <w:num w:numId="12">
    <w:abstractNumId w:val="11"/>
  </w:num>
  <w:num w:numId="13">
    <w:abstractNumId w:val="1"/>
  </w:num>
  <w:num w:numId="14">
    <w:abstractNumId w:val="6"/>
  </w:num>
  <w:num w:numId="15">
    <w:abstractNumId w:val="4"/>
  </w:num>
  <w:num w:numId="16">
    <w:abstractNumId w:val="13"/>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34E2D"/>
    <w:rsid w:val="000010F3"/>
    <w:rsid w:val="00004953"/>
    <w:rsid w:val="00004C08"/>
    <w:rsid w:val="000106ED"/>
    <w:rsid w:val="000161C0"/>
    <w:rsid w:val="0002337B"/>
    <w:rsid w:val="00085E8A"/>
    <w:rsid w:val="00090856"/>
    <w:rsid w:val="000E55D0"/>
    <w:rsid w:val="000F2BBC"/>
    <w:rsid w:val="00102F90"/>
    <w:rsid w:val="00116B54"/>
    <w:rsid w:val="00123FAD"/>
    <w:rsid w:val="001342C9"/>
    <w:rsid w:val="0013643A"/>
    <w:rsid w:val="001375DE"/>
    <w:rsid w:val="00155663"/>
    <w:rsid w:val="00181A8F"/>
    <w:rsid w:val="00184403"/>
    <w:rsid w:val="0019194C"/>
    <w:rsid w:val="001A298D"/>
    <w:rsid w:val="001A7746"/>
    <w:rsid w:val="001B66FC"/>
    <w:rsid w:val="001B755F"/>
    <w:rsid w:val="001C5A0D"/>
    <w:rsid w:val="001C7433"/>
    <w:rsid w:val="001E7C1F"/>
    <w:rsid w:val="001F1D58"/>
    <w:rsid w:val="00264046"/>
    <w:rsid w:val="00266F28"/>
    <w:rsid w:val="00271A97"/>
    <w:rsid w:val="00273950"/>
    <w:rsid w:val="0028406F"/>
    <w:rsid w:val="002865EA"/>
    <w:rsid w:val="00291DEE"/>
    <w:rsid w:val="002B29FD"/>
    <w:rsid w:val="002D69D6"/>
    <w:rsid w:val="002F4695"/>
    <w:rsid w:val="00316CCF"/>
    <w:rsid w:val="003443C2"/>
    <w:rsid w:val="00362039"/>
    <w:rsid w:val="003657E8"/>
    <w:rsid w:val="0037140B"/>
    <w:rsid w:val="00376144"/>
    <w:rsid w:val="00395E35"/>
    <w:rsid w:val="003977FE"/>
    <w:rsid w:val="003E186D"/>
    <w:rsid w:val="003F2F39"/>
    <w:rsid w:val="004040B7"/>
    <w:rsid w:val="00414879"/>
    <w:rsid w:val="00415FA9"/>
    <w:rsid w:val="004314B9"/>
    <w:rsid w:val="00434E2D"/>
    <w:rsid w:val="00451B3A"/>
    <w:rsid w:val="00482EBA"/>
    <w:rsid w:val="00486E6E"/>
    <w:rsid w:val="00496359"/>
    <w:rsid w:val="004A581A"/>
    <w:rsid w:val="004C6D6F"/>
    <w:rsid w:val="004C6DE9"/>
    <w:rsid w:val="004E61D4"/>
    <w:rsid w:val="004E64C3"/>
    <w:rsid w:val="004F4CC0"/>
    <w:rsid w:val="004F6302"/>
    <w:rsid w:val="00510B61"/>
    <w:rsid w:val="0051336F"/>
    <w:rsid w:val="00513DA6"/>
    <w:rsid w:val="00526586"/>
    <w:rsid w:val="00530D20"/>
    <w:rsid w:val="00537378"/>
    <w:rsid w:val="0054559F"/>
    <w:rsid w:val="00547D7D"/>
    <w:rsid w:val="00567D43"/>
    <w:rsid w:val="00584EEE"/>
    <w:rsid w:val="00585B1D"/>
    <w:rsid w:val="00586398"/>
    <w:rsid w:val="005A065D"/>
    <w:rsid w:val="005B1023"/>
    <w:rsid w:val="005D797D"/>
    <w:rsid w:val="00612931"/>
    <w:rsid w:val="00621230"/>
    <w:rsid w:val="00627B50"/>
    <w:rsid w:val="006468E3"/>
    <w:rsid w:val="0066303F"/>
    <w:rsid w:val="00676172"/>
    <w:rsid w:val="00685AC7"/>
    <w:rsid w:val="00695445"/>
    <w:rsid w:val="006B3B0A"/>
    <w:rsid w:val="006B5673"/>
    <w:rsid w:val="006C6864"/>
    <w:rsid w:val="006D17D3"/>
    <w:rsid w:val="006D3FA7"/>
    <w:rsid w:val="006F18C9"/>
    <w:rsid w:val="007029CF"/>
    <w:rsid w:val="00703576"/>
    <w:rsid w:val="007343C2"/>
    <w:rsid w:val="00741BD5"/>
    <w:rsid w:val="00754309"/>
    <w:rsid w:val="007560EF"/>
    <w:rsid w:val="0076352A"/>
    <w:rsid w:val="00766D11"/>
    <w:rsid w:val="007A1808"/>
    <w:rsid w:val="007B4791"/>
    <w:rsid w:val="007C5A9B"/>
    <w:rsid w:val="007D7CD6"/>
    <w:rsid w:val="007E2CF5"/>
    <w:rsid w:val="007E6B49"/>
    <w:rsid w:val="007F3685"/>
    <w:rsid w:val="007F3E24"/>
    <w:rsid w:val="007F6C64"/>
    <w:rsid w:val="00831026"/>
    <w:rsid w:val="0084050F"/>
    <w:rsid w:val="00842BEF"/>
    <w:rsid w:val="0085082B"/>
    <w:rsid w:val="00863125"/>
    <w:rsid w:val="00863C0C"/>
    <w:rsid w:val="00863DF5"/>
    <w:rsid w:val="00873F25"/>
    <w:rsid w:val="008810A5"/>
    <w:rsid w:val="00881E4E"/>
    <w:rsid w:val="008919FC"/>
    <w:rsid w:val="00894894"/>
    <w:rsid w:val="008A1A2B"/>
    <w:rsid w:val="008C04AC"/>
    <w:rsid w:val="008E41F0"/>
    <w:rsid w:val="008E4ED5"/>
    <w:rsid w:val="008F1CC2"/>
    <w:rsid w:val="008F5CF8"/>
    <w:rsid w:val="009006BE"/>
    <w:rsid w:val="0090386F"/>
    <w:rsid w:val="009054E5"/>
    <w:rsid w:val="00907802"/>
    <w:rsid w:val="009258C4"/>
    <w:rsid w:val="00925BF8"/>
    <w:rsid w:val="009378DB"/>
    <w:rsid w:val="0094069D"/>
    <w:rsid w:val="00943A12"/>
    <w:rsid w:val="009474C1"/>
    <w:rsid w:val="009603E9"/>
    <w:rsid w:val="00962629"/>
    <w:rsid w:val="009729BA"/>
    <w:rsid w:val="009C28FF"/>
    <w:rsid w:val="009C7953"/>
    <w:rsid w:val="009D0695"/>
    <w:rsid w:val="009D5215"/>
    <w:rsid w:val="009F14AF"/>
    <w:rsid w:val="009F4ED6"/>
    <w:rsid w:val="00A152B6"/>
    <w:rsid w:val="00A16B28"/>
    <w:rsid w:val="00AA4FF7"/>
    <w:rsid w:val="00AB1964"/>
    <w:rsid w:val="00AB65C2"/>
    <w:rsid w:val="00AD57FF"/>
    <w:rsid w:val="00AE6BD2"/>
    <w:rsid w:val="00B142A7"/>
    <w:rsid w:val="00B16D8E"/>
    <w:rsid w:val="00B37FF2"/>
    <w:rsid w:val="00B42D3D"/>
    <w:rsid w:val="00B50DD5"/>
    <w:rsid w:val="00B663EA"/>
    <w:rsid w:val="00B74DDE"/>
    <w:rsid w:val="00B973A6"/>
    <w:rsid w:val="00BA4FDB"/>
    <w:rsid w:val="00BC345F"/>
    <w:rsid w:val="00BD1AE6"/>
    <w:rsid w:val="00BF1CB1"/>
    <w:rsid w:val="00C10E24"/>
    <w:rsid w:val="00C23630"/>
    <w:rsid w:val="00C24833"/>
    <w:rsid w:val="00C25C21"/>
    <w:rsid w:val="00C36A9C"/>
    <w:rsid w:val="00C37357"/>
    <w:rsid w:val="00C70852"/>
    <w:rsid w:val="00C7244E"/>
    <w:rsid w:val="00C762A2"/>
    <w:rsid w:val="00C83F46"/>
    <w:rsid w:val="00C94D17"/>
    <w:rsid w:val="00C952E8"/>
    <w:rsid w:val="00CA69E4"/>
    <w:rsid w:val="00CA7E3D"/>
    <w:rsid w:val="00CB7787"/>
    <w:rsid w:val="00CD13AE"/>
    <w:rsid w:val="00CF4FA6"/>
    <w:rsid w:val="00D01D94"/>
    <w:rsid w:val="00D032B2"/>
    <w:rsid w:val="00D2124A"/>
    <w:rsid w:val="00D22454"/>
    <w:rsid w:val="00D56076"/>
    <w:rsid w:val="00D60334"/>
    <w:rsid w:val="00D60C9C"/>
    <w:rsid w:val="00D60E98"/>
    <w:rsid w:val="00D8377D"/>
    <w:rsid w:val="00D96B9C"/>
    <w:rsid w:val="00DA7BD1"/>
    <w:rsid w:val="00DB77E8"/>
    <w:rsid w:val="00DD6E3C"/>
    <w:rsid w:val="00DF7806"/>
    <w:rsid w:val="00E0718A"/>
    <w:rsid w:val="00E10E1D"/>
    <w:rsid w:val="00E36C9D"/>
    <w:rsid w:val="00E40B21"/>
    <w:rsid w:val="00E57167"/>
    <w:rsid w:val="00E706F1"/>
    <w:rsid w:val="00E802D2"/>
    <w:rsid w:val="00E84DF9"/>
    <w:rsid w:val="00E92F85"/>
    <w:rsid w:val="00E94A29"/>
    <w:rsid w:val="00E96342"/>
    <w:rsid w:val="00EF3870"/>
    <w:rsid w:val="00F207C3"/>
    <w:rsid w:val="00F31772"/>
    <w:rsid w:val="00F43F99"/>
    <w:rsid w:val="00F628D6"/>
    <w:rsid w:val="00F66B11"/>
    <w:rsid w:val="00F81044"/>
    <w:rsid w:val="00FA323E"/>
    <w:rsid w:val="00FA522A"/>
    <w:rsid w:val="00FA659A"/>
    <w:rsid w:val="00FA7B06"/>
    <w:rsid w:val="00FD1B3A"/>
    <w:rsid w:val="00FE2CC5"/>
    <w:rsid w:val="00FF086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3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87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415FA9"/>
    <w:pPr>
      <w:tabs>
        <w:tab w:val="center" w:pos="4680"/>
        <w:tab w:val="right" w:pos="9360"/>
      </w:tabs>
    </w:pPr>
  </w:style>
  <w:style w:type="character" w:customStyle="1" w:styleId="HeaderChar">
    <w:name w:val="Header Char"/>
    <w:basedOn w:val="DefaultParagraphFont"/>
    <w:link w:val="Header"/>
    <w:uiPriority w:val="99"/>
    <w:rsid w:val="00415FA9"/>
  </w:style>
  <w:style w:type="paragraph" w:styleId="Footer">
    <w:name w:val="footer"/>
    <w:basedOn w:val="Normal"/>
    <w:link w:val="FooterChar"/>
    <w:uiPriority w:val="99"/>
    <w:unhideWhenUsed/>
    <w:rsid w:val="00415FA9"/>
    <w:pPr>
      <w:tabs>
        <w:tab w:val="center" w:pos="4680"/>
        <w:tab w:val="right" w:pos="9360"/>
      </w:tabs>
    </w:pPr>
  </w:style>
  <w:style w:type="character" w:customStyle="1" w:styleId="FooterChar">
    <w:name w:val="Footer Char"/>
    <w:basedOn w:val="DefaultParagraphFont"/>
    <w:link w:val="Footer"/>
    <w:uiPriority w:val="99"/>
    <w:rsid w:val="00415FA9"/>
  </w:style>
  <w:style w:type="paragraph" w:styleId="ListParagraph">
    <w:name w:val="List Paragraph"/>
    <w:basedOn w:val="Normal"/>
    <w:uiPriority w:val="34"/>
    <w:qFormat/>
    <w:rsid w:val="00116B54"/>
    <w:pPr>
      <w:ind w:left="720"/>
      <w:contextualSpacing/>
    </w:pPr>
  </w:style>
  <w:style w:type="paragraph" w:styleId="BalloonText">
    <w:name w:val="Balloon Text"/>
    <w:basedOn w:val="Normal"/>
    <w:link w:val="BalloonTextChar"/>
    <w:uiPriority w:val="99"/>
    <w:semiHidden/>
    <w:unhideWhenUsed/>
    <w:rsid w:val="00E94A29"/>
    <w:rPr>
      <w:rFonts w:ascii="Tahoma" w:hAnsi="Tahoma" w:cs="Tahoma"/>
      <w:sz w:val="16"/>
      <w:szCs w:val="16"/>
    </w:rPr>
  </w:style>
  <w:style w:type="character" w:customStyle="1" w:styleId="BalloonTextChar">
    <w:name w:val="Balloon Text Char"/>
    <w:basedOn w:val="DefaultParagraphFont"/>
    <w:link w:val="BalloonText"/>
    <w:uiPriority w:val="99"/>
    <w:semiHidden/>
    <w:rsid w:val="00E94A29"/>
    <w:rPr>
      <w:rFonts w:ascii="Tahoma" w:hAnsi="Tahoma" w:cs="Tahoma"/>
      <w:sz w:val="16"/>
      <w:szCs w:val="16"/>
    </w:rPr>
  </w:style>
  <w:style w:type="character" w:styleId="Hyperlink">
    <w:name w:val="Hyperlink"/>
    <w:basedOn w:val="DefaultParagraphFont"/>
    <w:uiPriority w:val="99"/>
    <w:unhideWhenUsed/>
    <w:rsid w:val="00537378"/>
    <w:rPr>
      <w:color w:val="0000FF" w:themeColor="hyperlink"/>
      <w:u w:val="single"/>
    </w:rPr>
  </w:style>
  <w:style w:type="character" w:customStyle="1" w:styleId="UnresolvedMention">
    <w:name w:val="Unresolved Mention"/>
    <w:basedOn w:val="DefaultParagraphFont"/>
    <w:uiPriority w:val="99"/>
    <w:semiHidden/>
    <w:unhideWhenUsed/>
    <w:rsid w:val="009729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34908">
      <w:bodyDiv w:val="1"/>
      <w:marLeft w:val="0"/>
      <w:marRight w:val="0"/>
      <w:marTop w:val="0"/>
      <w:marBottom w:val="0"/>
      <w:divBdr>
        <w:top w:val="none" w:sz="0" w:space="0" w:color="auto"/>
        <w:left w:val="none" w:sz="0" w:space="0" w:color="auto"/>
        <w:bottom w:val="none" w:sz="0" w:space="0" w:color="auto"/>
        <w:right w:val="none" w:sz="0" w:space="0" w:color="auto"/>
      </w:divBdr>
    </w:div>
    <w:div w:id="1894194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F37A1-CE3E-4BAC-AFAA-03F0CE55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ACCER</cp:lastModifiedBy>
  <cp:revision>161</cp:revision>
  <cp:lastPrinted>2019-06-02T03:42:00Z</cp:lastPrinted>
  <dcterms:created xsi:type="dcterms:W3CDTF">2019-03-24T10:09:00Z</dcterms:created>
  <dcterms:modified xsi:type="dcterms:W3CDTF">2019-06-02T03:42:00Z</dcterms:modified>
</cp:coreProperties>
</file>